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MASTER SERVICES AGREEMENT</w:t>
      </w:r>
    </w:p>
    <w:p/>
    <w:p>
      <w:r>
        <w:rPr>
          <w:b/>
        </w:rPr>
        <w:t>1. SERVICES</w:t>
      </w:r>
    </w:p>
    <w:p>
      <w:r>
        <w:t>Vendor shall perform professional services described in mutually executed Statements of Work, including architecture reviews, integration design, technical documentation, and up to ten (10) hours of advisory calls per week unless otherwise stated.</w:t>
      </w:r>
    </w:p>
    <w:p/>
    <w:p>
      <w:r>
        <w:rPr>
          <w:b/>
        </w:rPr>
        <w:t>2. FEES AND INVOICING</w:t>
      </w:r>
    </w:p>
    <w:p>
      <w:r>
        <w:t>Fees are specified in each SOW. Unless stated otherwise, payment terms are Net thirty (30) days from invoice date. Pre-approved expenses over $250 require written consent. Overdue balances accrue 1% monthly interest.</w:t>
      </w:r>
    </w:p>
    <w:p/>
    <w:p>
      <w:r>
        <w:rPr>
          <w:b/>
        </w:rPr>
        <w:t>3. INTELLECTUAL PROPERTY</w:t>
      </w:r>
    </w:p>
    <w:p>
      <w:r>
        <w:t>Each party retains Pre-Existing IP. Deliverables created under a fully paid SOW are assigned to Client. Vendor retains a non-exclusive license to reuse generalized know-how that does not disclose Client Confidential Information.</w:t>
      </w:r>
    </w:p>
    <w:p/>
    <w:p>
      <w:r>
        <w:rPr>
          <w:b/>
        </w:rPr>
        <w:t>4. CONFIDENTIALITY</w:t>
      </w:r>
    </w:p>
    <w:p>
      <w:r>
        <w:t>Mutual confidentiality obligations survive five (5) years from disclosure. Standard exceptions for independently developed information and public domain materials apply.</w:t>
      </w:r>
    </w:p>
    <w:p/>
    <w:p>
      <w:r>
        <w:rPr>
          <w:b/>
        </w:rPr>
        <w:t>5. TERM AND TERMINATION</w:t>
      </w:r>
    </w:p>
    <w:p>
      <w:r>
        <w:t>Initial term two (2) years, renewing annually unless either party provides sixty (60) days' notice. Either party may terminate an SOW for material breach with thirty (30) days to cure.</w:t>
      </w:r>
    </w:p>
    <w:p/>
    <w:p>
      <w:r>
        <w:rPr>
          <w:b/>
        </w:rPr>
        <w:t>6. LIMITATION OF LIABILITY</w:t>
      </w:r>
    </w:p>
    <w:p>
      <w:r>
        <w:t>Except for breaches of confidentiality, indemnity obligations, or willful misconduct, each party's liability is limited to fees paid under the affected SOW during the prior twelve (12) months. Neither party is liable for consequential damages.</w:t>
      </w:r>
    </w:p>
    <w:p/>
    <w:p>
      <w:r>
        <w:rPr>
          <w:b/>
        </w:rPr>
        <w:t>7. INDEMNIFICATION</w:t>
      </w:r>
    </w:p>
    <w:p>
      <w:r>
        <w:t>Vendor indemnifies Client against third-party IP infringement claims relating to Vendor deliverables, excluding materials furnished by Client. Client indemnifies Vendor for claims arising from Client's misuse outside the SOW scope.</w:t>
      </w:r>
    </w:p>
    <w:p/>
    <w:p>
      <w:r>
        <w:rPr>
          <w:b/>
        </w:rPr>
        <w:t>EXHIBIT 1 — OPERATIONAL AND SECURITY REQUIREMENTS</w:t>
      </w:r>
    </w:p>
    <w:p>
      <w:r>
        <w:t>Exhibit 1 sets service levels for workstream 1, including weekly status reporting, change logs, and documented runbooks. Vendor shall comply with Client Information Security Standard v4.1 (encryption at rest, MFA for privileged access, annual penetration test summary). Client may schedule up to two (2) on-site workshops per calendar quarter with thirty (30) days' notice. Subcontractors require prior written approval and must execute Client's subcontractor agreement. Vendor maintains commercial general liability ($1,000,000 per occurrence) and professional liability ($2,000,000 aggregate). Milestone 1 acceptance requires signed UAT, operations handoff, and knowledge-transfer session. If Vendor misses a milestone by more than ten (10) business days, Client may withhold up to fifteen percent (15%) of that milestone pending cure. Notices: legal-notices@orion-enterprise.co.uk and legal@taylorbrooksconsulting.com. Disputes: escalation, mediation in Chicago, Illinois, then courts of Cook County, Illinois.</w:t>
      </w:r>
    </w:p>
    <w:p/>
    <w:p>
      <w:r>
        <w:rPr>
          <w:b/>
        </w:rPr>
        <w:t>EXHIBIT 2 — OPERATIONAL AND SECURITY REQUIREMENTS</w:t>
      </w:r>
    </w:p>
    <w:p>
      <w:r>
        <w:t>Exhibit 2 sets service levels for workstream 2, including weekly status reporting, change logs, and documented runbooks. Vendor shall comply with Client Information Security Standard v4.2 (encryption at rest, MFA for privileged access, annual penetration test summary). Client may schedule up to two (2) on-site workshops per calendar quarter with thirty (30) days' notice. Subcontractors require prior written approval and must execute Client's subcontractor agreement. Vendor maintains commercial general liability ($1,000,000 per occurrence) and professional liability ($2,000,000 aggregate). Milestone 2 acceptance requires signed UAT, operations handoff, and knowledge-transfer session. If Vendor misses a milestone by more than ten (10) business days, Client may withhold up to fifteen percent (15%) of that milestone pending cure. Notices: legal-notices@orion-enterprise.co.uk and legal@taylorbrooksconsulting.com. Disputes: escalation, mediation in Chicago, Illinois, then courts of Cook County, Illinois.</w:t>
      </w:r>
    </w:p>
    <w:p/>
    <w:p>
      <w:r>
        <w:rPr>
          <w:b/>
        </w:rPr>
        <w:t>EXHIBIT 3 — OPERATIONAL AND SECURITY REQUIREMENTS</w:t>
      </w:r>
    </w:p>
    <w:p>
      <w:r>
        <w:t>Exhibit 3 sets service levels for workstream 3, including weekly status reporting, change logs, and documented runbooks. Vendor shall comply with Client Information Security Standard v4.3 (encryption at rest, MFA for privileged access, annual penetration test summary). Client may schedule up to two (2) on-site workshops per calendar quarter with thirty (30) days' notice. Subcontractors require prior written approval and must execute Client's subcontractor agreement. Vendor maintains commercial general liability ($1,000,000 per occurrence) and professional liability ($2,000,000 aggregate). Milestone 3 acceptance requires signed UAT, operations handoff, and knowledge-transfer session. If Vendor misses a milestone by more than ten (10) business days, Client may withhold up to fifteen percent (15%) of that milestone pending cure. Notices: legal-notices@orion-enterprise.co.uk and legal@taylorbrooksconsulting.com. Disputes: escalation, mediation in Chicago, Illinois, then courts of Cook County, Illinois.</w:t>
      </w:r>
    </w:p>
    <w:p/>
    <w:p>
      <w:r>
        <w:rPr>
          <w:b/>
        </w:rPr>
        <w:t>EXHIBIT 4 — OPERATIONAL AND SECURITY REQUIREMENTS</w:t>
      </w:r>
    </w:p>
    <w:p>
      <w:r>
        <w:t>Exhibit 4 sets service levels for workstream 4, including weekly status reporting, change logs, and documented runbooks. Vendor shall comply with Client Information Security Standard v4.4 (encryption at rest, MFA for privileged access, annual penetration test summary). Client may schedule up to two (2) on-site workshops per calendar quarter with thirty (30) days' notice. Subcontractors require prior written approval and must execute Client's subcontractor agreement. Vendor maintains commercial general liability ($1,000,000 per occurrence) and professional liability ($2,000,000 aggregate). Milestone 4 acceptance requires signed UAT, operations handoff, and knowledge-transfer session. If Vendor misses a milestone by more than ten (10) business days, Client may withhold up to fifteen percent (15%) of that milestone pending cure. Notices: legal-notices@orion-enterprise.co.uk and legal@taylorbrooksconsulting.com. Disputes: escalation, mediation in Chicago, Illinois, then courts of Cook County, Illinois.</w:t>
      </w:r>
    </w:p>
    <w:p/>
    <w:p>
      <w:r>
        <w:rPr>
          <w:b/>
        </w:rPr>
        <w:t>EXHIBIT 5 — OPERATIONAL AND SECURITY REQUIREMENTS</w:t>
      </w:r>
    </w:p>
    <w:p>
      <w:r>
        <w:t>Exhibit 5 sets service levels for workstream 5, including weekly status reporting, change logs, and documented runbooks. Vendor shall comply with Client Information Security Standard v4.5 (encryption at rest, MFA for privileged access, annual penetration test summary). Client may schedule up to two (2) on-site workshops per calendar quarter with thirty (30) days' notice. Subcontractors require prior written approval and must execute Client's subcontractor agreement. Vendor maintains commercial general liability ($1,000,000 per occurrence) and professional liability ($2,000,000 aggregate). Milestone 5 acceptance requires signed UAT, operations handoff, and knowledge-transfer session. If Vendor misses a milestone by more than ten (10) business days, Client may withhold up to fifteen percent (15%) of that milestone pending cure. Notices: legal-notices@orion-enterprise.co.uk and legal@taylorbrooksconsulting.com. Disputes: escalation, mediation in Chicago, Illinois, then courts of Cook County, Illinois.</w:t>
      </w:r>
    </w:p>
    <w:p/>
    <w:p>
      <w:r>
        <w:rPr>
          <w:b/>
        </w:rPr>
        <w:t>EXHIBIT 6 — OPERATIONAL AND SECURITY REQUIREMENTS</w:t>
      </w:r>
    </w:p>
    <w:p>
      <w:r>
        <w:t>Exhibit 6 sets service levels for workstream 6, including weekly status reporting, change logs, and documented runbooks. Vendor shall comply with Client Information Security Standard v4.6 (encryption at rest, MFA for privileged access, annual penetration test summary). Client may schedule up to two (2) on-site workshops per calendar quarter with thirty (30) days' notice. Subcontractors require prior written approval and must execute Client's subcontractor agreement. Vendor maintains commercial general liability ($1,000,000 per occurrence) and professional liability ($2,000,000 aggregate). Milestone 6 acceptance requires signed UAT, operations handoff, and knowledge-transfer session. If Vendor misses a milestone by more than ten (10) business days, Client may withhold up to fifteen percent (15%) of that milestone pending cure. Notices: legal-notices@orion-enterprise.co.uk and legal@taylorbrooksconsulting.com. Disputes: escalation, mediation in Chicago, Illinois, then courts of Cook County, Illinois.</w:t>
      </w:r>
    </w:p>
    <w:p/>
    <w:p>
      <w:r>
        <w:rPr>
          <w:b/>
        </w:rPr>
        <w:t>EXHIBIT 7 — OPERATIONAL AND SECURITY REQUIREMENTS</w:t>
      </w:r>
    </w:p>
    <w:p>
      <w:r>
        <w:t>Exhibit 7 sets service levels for workstream 7, including weekly status reporting, change logs, and documented runbooks. Vendor shall comply with Client Information Security Standard v4.7 (encryption at rest, MFA for privileged access, annual penetration test summary). Client may schedule up to two (2) on-site workshops per calendar quarter with thirty (30) days' notice. Subcontractors require prior written approval and must execute Client's subcontractor agreement. Vendor maintains commercial general liability ($1,000,000 per occurrence) and professional liability ($2,000,000 aggregate). Milestone 7 acceptance requires signed UAT, operations handoff, and knowledge-transfer session. If Vendor misses a milestone by more than ten (10) business days, Client may withhold up to fifteen percent (15%) of that milestone pending cure. Notices: legal-notices@orion-enterprise.co.uk and legal@taylorbrooksconsulting.com. Disputes: escalation, mediation in Chicago, Illinois, then courts of Cook County, Illinois.</w:t>
      </w:r>
    </w:p>
    <w:p/>
    <w:p>
      <w:r>
        <w:rPr>
          <w:b/>
        </w:rPr>
        <w:t>EXHIBIT 8 — OPERATIONAL AND SECURITY REQUIREMENTS</w:t>
      </w:r>
    </w:p>
    <w:p>
      <w:r>
        <w:t>Exhibit 8 sets service levels for workstream 8, including weekly status reporting, change logs, and documented runbooks. Vendor shall comply with Client Information Security Standard v4.8 (encryption at rest, MFA for privileged access, annual penetration test summary). Client may schedule up to two (2) on-site workshops per calendar quarter with thirty (30) days' notice. Subcontractors require prior written approval and must execute Client's subcontractor agreement. Vendor maintains commercial general liability ($1,000,000 per occurrence) and professional liability ($2,000,000 aggregate). Milestone 8 acceptance requires signed UAT, operations handoff, and knowledge-transfer session. If Vendor misses a milestone by more than ten (10) business days, Client may withhold up to fifteen percent (15%) of that milestone pending cure. Notices: legal-notices@orion-enterprise.co.uk and legal@taylorbrooksconsulting.com. Disputes: escalation, mediation in Chicago, Illinois, then courts of Cook County, Illinois.</w:t>
      </w:r>
    </w:p>
    <w:p/>
    <w:p>
      <w:r>
        <w:rPr>
          <w:b/>
        </w:rPr>
        <w:t>EXHIBIT 9 — OPERATIONAL AND SECURITY REQUIREMENTS</w:t>
      </w:r>
    </w:p>
    <w:p>
      <w:r>
        <w:t>Exhibit 9 sets service levels for workstream 9, including weekly status reporting, change logs, and documented runbooks. Vendor shall comply with Client Information Security Standard v4.9 (encryption at rest, MFA for privileged access, annual penetration test summary). Client may schedule up to two (2) on-site workshops per calendar quarter with thirty (30) days' notice. Subcontractors require prior written approval and must execute Client's subcontractor agreement. Vendor maintains commercial general liability ($1,000,000 per occurrence) and professional liability ($2,000,000 aggregate). Milestone 9 acceptance requires signed UAT, operations handoff, and knowledge-transfer session. If Vendor misses a milestone by more than ten (10) business days, Client may withhold up to fifteen percent (15%) of that milestone pending cure. Notices: legal-notices@orion-enterprise.co.uk and legal@taylorbrooksconsulting.com. Disputes: escalation, mediation in Chicago, Illinois, then courts of Cook County, Illinois.</w:t>
      </w:r>
    </w:p>
    <w:p/>
    <w:p>
      <w:r>
        <w:rPr>
          <w:b/>
        </w:rPr>
        <w:t>EXHIBIT 10 — OPERATIONAL AND SECURITY REQUIREMENTS</w:t>
      </w:r>
    </w:p>
    <w:p>
      <w:r>
        <w:t>Exhibit 10 sets service levels for workstream 10, including weekly status reporting, change logs, and documented runbooks. Vendor shall comply with Client Information Security Standard v4.10 (encryption at rest, MFA for privileged access, annual penetration test summary). Client may schedule up to two (2) on-site workshops per calendar quarter with thirty (30) days' notice. Subcontractors require prior written approval and must execute Client's subcontractor agreement. Vendor maintains commercial general liability ($1,000,000 per occurrence) and professional liability ($2,000,000 aggregate). Milestone 10 acceptance requires signed UAT, operations handoff, and knowledge-transfer session. If Vendor misses a milestone by more than ten (10) business days, Client may withhold up to fifteen percent (15%) of that milestone pending cure. Notices: legal-notices@orion-enterprise.co.uk and legal@taylorbrooksconsulting.com. Disputes: escalation, mediation in Chicago, Illinois, then courts of Cook County, Illinois.</w:t>
      </w:r>
    </w:p>
    <w:p/>
    <w:p>
      <w:r>
        <w:rPr>
          <w:b/>
        </w:rPr>
        <w:t>EXHIBIT 11 — OPERATIONAL AND SECURITY REQUIREMENTS</w:t>
      </w:r>
    </w:p>
    <w:p>
      <w:r>
        <w:t>Exhibit 11 sets service levels for workstream 11, including weekly status reporting, change logs, and documented runbooks. Vendor shall comply with Client Information Security Standard v4.11 (encryption at rest, MFA for privileged access, annual penetration test summary). Client may schedule up to two (2) on-site workshops per calendar quarter with thirty (30) days' notice. Subcontractors require prior written approval and must execute Client's subcontractor agreement. Vendor maintains commercial general liability ($1,000,000 per occurrence) and professional liability ($2,000,000 aggregate). Milestone 11 acceptance requires signed UAT, operations handoff, and knowledge-transfer session. If Vendor misses a milestone by more than ten (10) business days, Client may withhold up to fifteen percent (15%) of that milestone pending cure. Notices: legal-notices@orion-enterprise.co.uk and legal@taylorbrooksconsulting.com. Disputes: escalation, mediation in Chicago, Illinois, then courts of Cook County, Illinois.</w:t>
      </w:r>
    </w:p>
    <w:p/>
    <w:p>
      <w:r>
        <w:rPr>
          <w:b/>
        </w:rPr>
        <w:t>EXHIBIT 12 — OPERATIONAL AND SECURITY REQUIREMENTS</w:t>
      </w:r>
    </w:p>
    <w:p>
      <w:r>
        <w:t>Exhibit 12 sets service levels for workstream 12, including weekly status reporting, change logs, and documented runbooks. Vendor shall comply with Client Information Security Standard v4.12 (encryption at rest, MFA for privileged access, annual penetration test summary). Client may schedule up to two (2) on-site workshops per calendar quarter with thirty (30) days' notice. Subcontractors require prior written approval and must execute Client's subcontractor agreement. Vendor maintains commercial general liability ($1,000,000 per occurrence) and professional liability ($2,000,000 aggregate). Milestone 12 acceptance requires signed UAT, operations handoff, and knowledge-transfer session. If Vendor misses a milestone by more than ten (10) business days, Client may withhold up to fifteen percent (15%) of that milestone pending cure. Notices: legal-notices@orion-enterprise.co.uk and legal@taylorbrooksconsulting.com. Disputes: escalation, mediation in Chicago, Illinois, then courts of Cook County, Illinois.</w:t>
      </w:r>
    </w:p>
    <w:p/>
    <w:p>
      <w:r>
        <w:rPr>
          <w:b/>
        </w:rPr>
        <w:t>EXHIBIT 13 — OPERATIONAL AND SECURITY REQUIREMENTS</w:t>
      </w:r>
    </w:p>
    <w:p>
      <w:r>
        <w:t>Exhibit 13 sets service levels for workstream 13, including weekly status reporting, change logs, and documented runbooks. Vendor shall comply with Client Information Security Standard v4.13 (encryption at rest, MFA for privileged access, annual penetration test summary). Client may schedule up to two (2) on-site workshops per calendar quarter with thirty (30) days' notice. Subcontractors require prior written approval and must execute Client's subcontractor agreement. Vendor maintains commercial general liability ($1,000,000 per occurrence) and professional liability ($2,000,000 aggregate). Milestone 13 acceptance requires signed UAT, operations handoff, and knowledge-transfer session. If Vendor misses a milestone by more than ten (10) business days, Client may withhold up to fifteen percent (15%) of that milestone pending cure. Notices: legal-notices@orion-enterprise.co.uk and legal@taylorbrooksconsulting.com. Disputes: escalation, mediation in Chicago, Illinois, then courts of Cook County, Illinois.</w:t>
      </w:r>
    </w:p>
    <w:p/>
    <w:p>
      <w:r>
        <w:rPr>
          <w:b/>
        </w:rPr>
        <w:t>EXHIBIT 14 — OPERATIONAL AND SECURITY REQUIREMENTS</w:t>
      </w:r>
    </w:p>
    <w:p>
      <w:r>
        <w:t>Exhibit 14 sets service levels for workstream 14, including weekly status reporting, change logs, and documented runbooks. Vendor shall comply with Client Information Security Standard v4.14 (encryption at rest, MFA for privileged access, annual penetration test summary). Client may schedule up to two (2) on-site workshops per calendar quarter with thirty (30) days' notice. Subcontractors require prior written approval and must execute Client's subcontractor agreement. Vendor maintains commercial general liability ($1,000,000 per occurrence) and professional liability ($2,000,000 aggregate). Milestone 14 acceptance requires signed UAT, operations handoff, and knowledge-transfer session. If Vendor misses a milestone by more than ten (10) business days, Client may withhold up to fifteen percent (15%) of that milestone pending cure. Notices: legal-notices@orion-enterprise.co.uk and legal@taylorbrooksconsulting.com. Disputes: escalation, mediation in Chicago, Illinois, then courts of Cook County, Illinois.</w:t>
      </w:r>
    </w:p>
    <w:p/>
    <w:p>
      <w:r>
        <w:rPr>
          <w:b/>
        </w:rPr>
        <w:t>EXHIBIT 15 — OPERATIONAL AND SECURITY REQUIREMENTS</w:t>
      </w:r>
    </w:p>
    <w:p>
      <w:r>
        <w:t>Exhibit 15 sets service levels for workstream 15, including weekly status reporting, change logs, and documented runbooks. Vendor shall comply with Client Information Security Standard v4.15 (encryption at rest, MFA for privileged access, annual penetration test summary). Client may schedule up to two (2) on-site workshops per calendar quarter with thirty (30) days' notice. Subcontractors require prior written approval and must execute Client's subcontractor agreement. Vendor maintains commercial general liability ($1,000,000 per occurrence) and professional liability ($2,000,000 aggregate). Milestone 15 acceptance requires signed UAT, operations handoff, and knowledge-transfer session. If Vendor misses a milestone by more than ten (10) business days, Client may withhold up to fifteen percent (15%) of that milestone pending cure. Notices: legal-notices@orion-enterprise.co.uk and legal@taylorbrooksconsulting.com. Disputes: escalation, mediation in Chicago, Illinois, then courts of Cook County, Illinois.</w:t>
      </w:r>
    </w:p>
    <w:p/>
    <w:p>
      <w:r>
        <w:rPr>
          <w:b/>
        </w:rPr>
        <w:t>EXHIBIT 16 — OPERATIONAL AND SECURITY REQUIREMENTS</w:t>
      </w:r>
    </w:p>
    <w:p>
      <w:r>
        <w:t>Exhibit 16 sets service levels for workstream 16, including weekly status reporting, change logs, and documented runbooks. Vendor shall comply with Client Information Security Standard v4.16 (encryption at rest, MFA for privileged access, annual penetration test summary). Client may schedule up to two (2) on-site workshops per calendar quarter with thirty (30) days' notice. Subcontractors require prior written approval and must execute Client's subcontractor agreement. Vendor maintains commercial general liability ($1,000,000 per occurrence) and professional liability ($2,000,000 aggregate). Milestone 16 acceptance requires signed UAT, operations handoff, and knowledge-transfer session. If Vendor misses a milestone by more than ten (10) business days, Client may withhold up to fifteen percent (15%) of that milestone pending cure. Notices: legal-notices@orion-enterprise.co.uk and legal@taylorbrooksconsulting.com. Disputes: escalation, mediation in Chicago, Illinois, then courts of Cook County, Illinois.</w:t>
      </w:r>
    </w:p>
    <w:p/>
    <w:p>
      <w:r>
        <w:rPr>
          <w:b/>
        </w:rPr>
        <w:t>EXHIBIT 17 — OPERATIONAL AND SECURITY REQUIREMENTS</w:t>
      </w:r>
    </w:p>
    <w:p>
      <w:r>
        <w:t>Exhibit 17 sets service levels for workstream 17, including weekly status reporting, change logs, and documented runbooks. Vendor shall comply with Client Information Security Standard v4.17 (encryption at rest, MFA for privileged access, annual penetration test summary). Client may schedule up to two (2) on-site workshops per calendar quarter with thirty (30) days' notice. Subcontractors require prior written approval and must execute Client's subcontractor agreement. Vendor maintains commercial general liability ($1,000,000 per occurrence) and professional liability ($2,000,000 aggregate). Milestone 17 acceptance requires signed UAT, operations handoff, and knowledge-transfer session. If Vendor misses a milestone by more than ten (10) business days, Client may withhold up to fifteen percent (15%) of that milestone pending cure. Notices: legal-notices@orion-enterprise.co.uk and legal@taylorbrooksconsulting.com. Disputes: escalation, mediation in Chicago, Illinois, then courts of Cook County, Illinois.</w:t>
      </w:r>
    </w:p>
    <w:p/>
    <w:p>
      <w:r>
        <w:rPr>
          <w:b/>
        </w:rPr>
        <w:t>EXHIBIT 18 — OPERATIONAL AND SECURITY REQUIREMENTS</w:t>
      </w:r>
    </w:p>
    <w:p>
      <w:r>
        <w:t>Exhibit 18 sets service levels for workstream 18, including weekly status reporting, change logs, and documented runbooks. Vendor shall comply with Client Information Security Standard v4.18 (encryption at rest, MFA for privileged access, annual penetration test summary). Client may schedule up to two (2) on-site workshops per calendar quarter with thirty (30) days' notice. Subcontractors require prior written approval and must execute Client's subcontractor agreement. Vendor maintains commercial general liability ($1,000,000 per occurrence) and professional liability ($2,000,000 aggregate). Milestone 18 acceptance requires signed UAT, operations handoff, and knowledge-transfer session. If Vendor misses a milestone by more than ten (10) business days, Client may withhold up to fifteen percent (15%) of that milestone pending cure. Notices: legal-notices@orion-enterprise.co.uk and legal@taylorbrooksconsulting.com. Disputes: escalation, mediation in Chicago, Illinois, then courts of Cook County, Illinois.</w:t>
      </w:r>
    </w:p>
    <w:p/>
    <w:p>
      <w:r>
        <w:rPr>
          <w:b/>
        </w:rPr>
        <w:t>IN WITNESS WHEREOF</w:t>
      </w:r>
    </w:p>
    <w:p>
      <w:r>
        <w:t>ORION ENTERPRISE SYSTEMS LTD.</w:t>
        <w:br/>
        <w:t>Authorized Signatory: _________________________  Date: _______________</w:t>
        <w:br/>
        <w:br/>
        <w:t>TAYLOR BROOKS CONSULTING LLC</w:t>
        <w:br/>
        <w:t>Authorized Signatory: _________________________  Date: _______________</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