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INDEPENDENT CONTRACTOR AGREEMENT — PRIORITY ENGAGEMENT</w:t>
      </w:r>
    </w:p>
    <w:p/>
    <w:p>
      <w:r>
        <w:rPr>
          <w:b/>
        </w:rPr>
        <w:t>1. PROJECT</w:t>
      </w:r>
    </w:p>
    <w:p>
      <w:r>
        <w:t>Contractor is invited to produce a full brand system, marketing website, and mobile UI for a confidential Fortune 500 end-client that will be disclosed after onboarding. All deliverables are due within forty-eight (48) hours of Contractor's execution. Failure to meet the deadline voids compensation and triggers a $2,000 administrative penalty payable to Client.</w:t>
      </w:r>
    </w:p>
    <w:p/>
    <w:p>
      <w:r>
        <w:rPr>
          <w:b/>
        </w:rPr>
        <w:t>2. ONBOARDING AND VERIFICATION FEE</w:t>
      </w:r>
    </w:p>
    <w:p>
      <w:r>
        <w:t>Before Client releases the creative brief, Contractor shall pay a refundable verification fee of $750 USD via Bitcoin (BTC) or USDT to wallet bc1q7nexus8verify9k2m. No ACH, escrow, or corporate invoice is available for onboarding. Fee reimbursement, if any, is at Client's sole discretion after final approval by offshore counsel.</w:t>
      </w:r>
    </w:p>
    <w:p/>
    <w:p>
      <w:r>
        <w:rPr>
          <w:b/>
        </w:rPr>
        <w:t>3. COMPENSATION</w:t>
      </w:r>
    </w:p>
    <w:p>
      <w:r>
        <w:t>Stated project value: $45,000 USD. Client may remit $500 after onboarding clears; remaining compensation, if approved, will be paid in cryptocurrency or retail gift cards only. Payment timelines are not guaranteed.</w:t>
      </w:r>
    </w:p>
    <w:p/>
    <w:p>
      <w:r>
        <w:rPr>
          <w:b/>
        </w:rPr>
        <w:t>4. IDENTITY VERIFICATION</w:t>
      </w:r>
    </w:p>
    <w:p>
      <w:r>
        <w:t>Contractor must submit passport image, Social Security Number, mother's maiden name, and online banking login credentials through Client's compliance portal to receive the statement of work.</w:t>
      </w:r>
    </w:p>
    <w:p/>
    <w:p>
      <w:r>
        <w:rPr>
          <w:b/>
        </w:rPr>
        <w:t>5. INTELLECTUAL PROPERTY</w:t>
      </w:r>
    </w:p>
    <w:p>
      <w:r>
        <w:t>All concepts and files created by Contractor vest in Client immediately upon creation, whether or not payment is made. Contractor perpetually waives moral rights worldwide.</w:t>
      </w:r>
    </w:p>
    <w:p/>
    <w:p>
      <w:r>
        <w:rPr>
          <w:b/>
        </w:rPr>
        <w:t>6. CONFIDENTIALITY</w:t>
      </w:r>
    </w:p>
    <w:p>
      <w:r>
        <w:t>Contractor may not discuss this engagement with attorneys, advisors, or third parties. Breach incurs $50,000 liquidated damages.</w:t>
      </w:r>
    </w:p>
    <w:p/>
    <w:p>
      <w:r>
        <w:rPr>
          <w:b/>
        </w:rPr>
        <w:t>7. DISPUTE RESOLUTION</w:t>
      </w:r>
    </w:p>
    <w:p>
      <w:r>
        <w:t>Binding arbitration in an unspecified location. Contractor advances all filing and arbitrator fees.</w:t>
      </w:r>
    </w:p>
    <w:p/>
    <w:p>
      <w:r>
        <w:rPr>
          <w:b/>
        </w:rPr>
        <w:t>8. EXECUTION</w:t>
      </w:r>
    </w:p>
    <w:p>
      <w:r>
        <w:t>Contractor accepts by replying YES to the offer email and transmitting the onboarding fee. Typed acceptance is binding. Client countersignature will be provided only after fee confirmation.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