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5F748" w14:textId="01BF13BD" w:rsidR="00EE4059" w:rsidRPr="00323CB6" w:rsidRDefault="00B12161" w:rsidP="00EE4059">
      <w:r>
        <w:rPr>
          <w:noProof/>
        </w:rPr>
        <mc:AlternateContent>
          <mc:Choice Requires="wps">
            <w:drawing>
              <wp:anchor distT="0" distB="0" distL="114300" distR="114300" simplePos="0" relativeHeight="251663360" behindDoc="0" locked="0" layoutInCell="1" allowOverlap="1" wp14:anchorId="56F44275" wp14:editId="1B5C42EF">
                <wp:simplePos x="0" y="0"/>
                <wp:positionH relativeFrom="column">
                  <wp:posOffset>-493395</wp:posOffset>
                </wp:positionH>
                <wp:positionV relativeFrom="paragraph">
                  <wp:posOffset>8890</wp:posOffset>
                </wp:positionV>
                <wp:extent cx="4111625" cy="1324610"/>
                <wp:effectExtent l="1905" t="0" r="1270" b="0"/>
                <wp:wrapNone/>
                <wp:docPr id="38560830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1625" cy="132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B8D8" w14:textId="77777777" w:rsidR="00EE4059" w:rsidRPr="00BE6A1E" w:rsidRDefault="00EE4059" w:rsidP="00EE4059">
                            <w:pPr>
                              <w:rPr>
                                <w:color w:val="FFFFFF" w:themeColor="background1"/>
                                <w:sz w:val="80"/>
                                <w:szCs w:val="80"/>
                              </w:rPr>
                            </w:pPr>
                            <w:r w:rsidRPr="00271732">
                              <w:rPr>
                                <w:rFonts w:eastAsia="SimSun"/>
                                <w:color w:val="FFFFFF" w:themeColor="background1"/>
                                <w:sz w:val="80"/>
                                <w:szCs w:val="80"/>
                              </w:rPr>
                              <w:t>E-commerce Sales Analysis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F44275" id="_x0000_t202" coordsize="21600,21600" o:spt="202" path="m,l,21600r21600,l21600,xe">
                <v:stroke joinstyle="miter"/>
                <v:path gradientshapeok="t" o:connecttype="rect"/>
              </v:shapetype>
              <v:shape id="Text Box 12" o:spid="_x0000_s1026" type="#_x0000_t202" style="position:absolute;margin-left:-38.85pt;margin-top:.7pt;width:323.75pt;height:10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" filled="f" stroked="f">
                <v:textbox inset="0,0,0,0">
                  <w:txbxContent>
                    <w:p w14:paraId="0786B8D8" w14:textId="77777777" w:rsidR="00EE4059" w:rsidRPr="00BE6A1E" w:rsidRDefault="00EE4059" w:rsidP="00EE4059">
                      <w:pPr>
                        <w:rPr>
                          <w:color w:val="FFFFFF" w:themeColor="background1"/>
                          <w:sz w:val="80"/>
                          <w:szCs w:val="80"/>
                        </w:rPr>
                      </w:pPr>
                      <w:r w:rsidRPr="00271732">
                        <w:rPr>
                          <w:rFonts w:eastAsia="SimSun"/>
                          <w:color w:val="FFFFFF" w:themeColor="background1"/>
                          <w:sz w:val="80"/>
                          <w:szCs w:val="80"/>
                        </w:rPr>
                        <w:t>E-commerce Sales Analysis Report</w:t>
                      </w:r>
                    </w:p>
                  </w:txbxContent>
                </v:textbox>
              </v:shape>
            </w:pict>
          </mc:Fallback>
        </mc:AlternateContent>
      </w:r>
      <w:r>
        <w:rPr>
          <w:noProof/>
        </w:rPr>
        <w:drawing>
          <wp:anchor distT="0" distB="0" distL="114300" distR="114300" simplePos="0" relativeHeight="251659264" behindDoc="1" locked="0" layoutInCell="1" allowOverlap="1" wp14:anchorId="20DC5A80" wp14:editId="44DFF42A">
            <wp:simplePos x="0" y="0"/>
            <wp:positionH relativeFrom="column">
              <wp:posOffset>-1128395</wp:posOffset>
            </wp:positionH>
            <wp:positionV relativeFrom="paragraph">
              <wp:posOffset>-600075</wp:posOffset>
            </wp:positionV>
            <wp:extent cx="7771765" cy="10058400"/>
            <wp:effectExtent l="1905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5" cstate="print"/>
                    <a:stretch>
                      <a:fillRect/>
                    </a:stretch>
                  </pic:blipFill>
                  <pic:spPr>
                    <a:xfrm>
                      <a:off x="0" y="0"/>
                      <a:ext cx="7771765" cy="10058400"/>
                    </a:xfrm>
                    <a:prstGeom prst="rect">
                      <a:avLst/>
                    </a:prstGeom>
                    <a:noFill/>
                    <a:ln>
                      <a:noFill/>
                    </a:ln>
                  </pic:spPr>
                </pic:pic>
              </a:graphicData>
            </a:graphic>
          </wp:anchor>
        </w:drawing>
      </w:r>
      <w:r w:rsidR="00EE4059">
        <w:rPr>
          <w:noProof/>
        </w:rPr>
        <w:softHyphen/>
      </w:r>
    </w:p>
    <w:p w14:paraId="41A3B92D" w14:textId="370F2AB4" w:rsidR="00BA7019" w:rsidRDefault="00BA7019" w:rsidP="00104063">
      <w:pPr>
        <w:pStyle w:val="Title"/>
        <w:jc w:val="both"/>
      </w:pPr>
    </w:p>
    <w:p w14:paraId="6C4F64EA" w14:textId="3F6D6342" w:rsidR="00BA7019" w:rsidRDefault="00BA7019" w:rsidP="00104063">
      <w:pPr>
        <w:pStyle w:val="Title"/>
        <w:jc w:val="both"/>
      </w:pPr>
    </w:p>
    <w:p w14:paraId="616B7817" w14:textId="0B4C51F4" w:rsidR="00BA7019" w:rsidRDefault="00B12161" w:rsidP="00104063">
      <w:pPr>
        <w:pStyle w:val="Title"/>
        <w:jc w:val="both"/>
      </w:pPr>
      <w:r>
        <w:rPr>
          <w:noProof/>
        </w:rPr>
        <mc:AlternateContent>
          <mc:Choice Requires="wps">
            <w:drawing>
              <wp:anchor distT="0" distB="0" distL="114300" distR="114300" simplePos="0" relativeHeight="251664384" behindDoc="0" locked="0" layoutInCell="1" allowOverlap="1" wp14:anchorId="14ECAEA2" wp14:editId="60C119A3">
                <wp:simplePos x="0" y="0"/>
                <wp:positionH relativeFrom="column">
                  <wp:posOffset>-464820</wp:posOffset>
                </wp:positionH>
                <wp:positionV relativeFrom="paragraph">
                  <wp:posOffset>428625</wp:posOffset>
                </wp:positionV>
                <wp:extent cx="5077460" cy="302260"/>
                <wp:effectExtent l="1905" t="2540" r="0" b="0"/>
                <wp:wrapNone/>
                <wp:docPr id="54235956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F874E" w14:textId="77777777" w:rsidR="00EE4059" w:rsidRPr="00271732" w:rsidRDefault="00EE4059" w:rsidP="00EE4059">
                            <w:pPr>
                              <w:rPr>
                                <w:color w:val="FFFFFF" w:themeColor="background1"/>
                              </w:rPr>
                            </w:pPr>
                            <w:r w:rsidRPr="00271732">
                              <w:rPr>
                                <w:color w:val="FFFFFF" w:themeColor="background1"/>
                                <w:sz w:val="32"/>
                                <w:szCs w:val="32"/>
                              </w:rPr>
                              <w:t>Insights from Transaction Data 2010–2011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CAEA2" id="Text Box 13" o:spid="_x0000_s1027" type="#_x0000_t202" style="position:absolute;left:0;text-align:left;margin-left:-36.6pt;margin-top:33.75pt;width:399.8pt;height:2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" filled="f" stroked="f">
                <v:textbox inset="0,0,0,0">
                  <w:txbxContent>
                    <w:p w14:paraId="6FCF874E" w14:textId="77777777" w:rsidR="00EE4059" w:rsidRPr="00271732" w:rsidRDefault="00EE4059" w:rsidP="00EE4059">
                      <w:pPr>
                        <w:rPr>
                          <w:color w:val="FFFFFF" w:themeColor="background1"/>
                        </w:rPr>
                      </w:pPr>
                      <w:r w:rsidRPr="00271732">
                        <w:rPr>
                          <w:color w:val="FFFFFF" w:themeColor="background1"/>
                          <w:sz w:val="32"/>
                          <w:szCs w:val="32"/>
                        </w:rPr>
                        <w:t>Insights from Transaction Data 2010–2011</w:t>
                      </w:r>
                    </w:p>
                  </w:txbxContent>
                </v:textbox>
              </v:shape>
            </w:pict>
          </mc:Fallback>
        </mc:AlternateContent>
      </w:r>
    </w:p>
    <w:p w14:paraId="392FB91A" w14:textId="7B0BB5D9" w:rsidR="00BA7019" w:rsidRDefault="00BA7019" w:rsidP="00104063">
      <w:pPr>
        <w:pStyle w:val="Title"/>
        <w:jc w:val="both"/>
      </w:pPr>
    </w:p>
    <w:p w14:paraId="1601A148" w14:textId="6651A461" w:rsidR="00BA7019" w:rsidRDefault="00BA7019" w:rsidP="00104063">
      <w:pPr>
        <w:pStyle w:val="Title"/>
        <w:jc w:val="both"/>
      </w:pPr>
    </w:p>
    <w:p w14:paraId="08D5F0BC" w14:textId="77777777" w:rsidR="00BA7019" w:rsidRDefault="00BA7019" w:rsidP="00104063">
      <w:pPr>
        <w:pStyle w:val="Title"/>
        <w:jc w:val="both"/>
      </w:pPr>
    </w:p>
    <w:p w14:paraId="7D1BA707" w14:textId="77777777" w:rsidR="00BA7019" w:rsidRDefault="00BA7019" w:rsidP="00104063">
      <w:pPr>
        <w:pStyle w:val="Title"/>
        <w:jc w:val="both"/>
      </w:pPr>
    </w:p>
    <w:p w14:paraId="4346698C" w14:textId="77777777" w:rsidR="00BA7019" w:rsidRDefault="00BA7019" w:rsidP="00104063">
      <w:pPr>
        <w:pStyle w:val="Title"/>
        <w:jc w:val="both"/>
      </w:pPr>
    </w:p>
    <w:p w14:paraId="20D6B847" w14:textId="35B81DFF" w:rsidR="00BA7019" w:rsidRDefault="00B12161" w:rsidP="00104063">
      <w:pPr>
        <w:pStyle w:val="Title"/>
        <w:jc w:val="both"/>
      </w:pPr>
      <w:r>
        <w:rPr>
          <w:noProof/>
        </w:rPr>
        <mc:AlternateContent>
          <mc:Choice Requires="wps">
            <w:drawing>
              <wp:anchor distT="0" distB="0" distL="114300" distR="114300" simplePos="0" relativeHeight="251665408" behindDoc="0" locked="0" layoutInCell="1" allowOverlap="1" wp14:anchorId="3C0DB44B" wp14:editId="4E25BBA4">
                <wp:simplePos x="0" y="0"/>
                <wp:positionH relativeFrom="column">
                  <wp:posOffset>2964180</wp:posOffset>
                </wp:positionH>
                <wp:positionV relativeFrom="paragraph">
                  <wp:posOffset>201295</wp:posOffset>
                </wp:positionV>
                <wp:extent cx="2530475" cy="448310"/>
                <wp:effectExtent l="1905" t="0" r="1270" b="0"/>
                <wp:wrapNone/>
                <wp:docPr id="132691925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00672" w14:textId="77777777" w:rsidR="00EE4059" w:rsidRPr="003F105D" w:rsidRDefault="00EE4059" w:rsidP="00EE4059">
                            <w:pPr>
                              <w:jc w:val="center"/>
                              <w:rPr>
                                <w:b/>
                                <w:bCs/>
                                <w:sz w:val="52"/>
                                <w:szCs w:val="52"/>
                              </w:rPr>
                            </w:pPr>
                            <w:r w:rsidRPr="003F105D">
                              <w:rPr>
                                <w:rFonts w:eastAsia="SimSun"/>
                                <w:b/>
                                <w:bCs/>
                                <w:sz w:val="52"/>
                                <w:szCs w:val="52"/>
                              </w:rPr>
                              <w:t>Prepared By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DB44B" id="Text Box 15" o:spid="_x0000_s1028" type="#_x0000_t202" style="position:absolute;left:0;text-align:left;margin-left:233.4pt;margin-top:15.85pt;width:199.25pt;height:3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" filled="f" stroked="f">
                <v:textbox inset="0,0,0,0">
                  <w:txbxContent>
                    <w:p w14:paraId="35B00672" w14:textId="77777777" w:rsidR="00EE4059" w:rsidRPr="003F105D" w:rsidRDefault="00EE4059" w:rsidP="00EE4059">
                      <w:pPr>
                        <w:jc w:val="center"/>
                        <w:rPr>
                          <w:b/>
                          <w:bCs/>
                          <w:sz w:val="52"/>
                          <w:szCs w:val="52"/>
                        </w:rPr>
                      </w:pPr>
                      <w:r w:rsidRPr="003F105D">
                        <w:rPr>
                          <w:rFonts w:eastAsia="SimSun"/>
                          <w:b/>
                          <w:bCs/>
                          <w:sz w:val="52"/>
                          <w:szCs w:val="52"/>
                        </w:rPr>
                        <w:t>Prepared By</w:t>
                      </w:r>
                    </w:p>
                  </w:txbxContent>
                </v:textbox>
              </v:shape>
            </w:pict>
          </mc:Fallback>
        </mc:AlternateContent>
      </w:r>
    </w:p>
    <w:p w14:paraId="04904634" w14:textId="6527A54A" w:rsidR="00BA7019" w:rsidRDefault="00B12161" w:rsidP="00104063">
      <w:pPr>
        <w:pStyle w:val="Title"/>
        <w:jc w:val="both"/>
      </w:pPr>
      <w:r>
        <w:rPr>
          <w:noProof/>
        </w:rPr>
        <mc:AlternateContent>
          <mc:Choice Requires="wps">
            <w:drawing>
              <wp:anchor distT="0" distB="0" distL="114300" distR="114300" simplePos="0" relativeHeight="251666432" behindDoc="0" locked="0" layoutInCell="1" allowOverlap="1" wp14:anchorId="74CA6E0C" wp14:editId="43E54BC6">
                <wp:simplePos x="0" y="0"/>
                <wp:positionH relativeFrom="column">
                  <wp:posOffset>2145030</wp:posOffset>
                </wp:positionH>
                <wp:positionV relativeFrom="paragraph">
                  <wp:posOffset>402590</wp:posOffset>
                </wp:positionV>
                <wp:extent cx="4092575" cy="1219835"/>
                <wp:effectExtent l="1905" t="0" r="1270" b="0"/>
                <wp:wrapNone/>
                <wp:docPr id="51137666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2575" cy="1219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40C05" w14:textId="77777777" w:rsidR="00EE4059" w:rsidRPr="003F105D" w:rsidRDefault="00EE4059" w:rsidP="00EE4059">
                            <w:pPr>
                              <w:jc w:val="center"/>
                              <w:rPr>
                                <w:rFonts w:eastAsia="SimSun"/>
                                <w:sz w:val="40"/>
                                <w:szCs w:val="40"/>
                              </w:rPr>
                            </w:pPr>
                            <w:r w:rsidRPr="003F105D">
                              <w:rPr>
                                <w:rFonts w:eastAsia="SimSun"/>
                                <w:sz w:val="40"/>
                                <w:szCs w:val="40"/>
                              </w:rPr>
                              <w:t>Tahmid Rahman Siddiki</w:t>
                            </w:r>
                          </w:p>
                          <w:p w14:paraId="797DF607" w14:textId="77777777" w:rsidR="00EE4059" w:rsidRPr="003F105D" w:rsidRDefault="00EE4059" w:rsidP="00EE4059">
                            <w:pPr>
                              <w:jc w:val="center"/>
                              <w:rPr>
                                <w:rFonts w:eastAsia="SimSun"/>
                                <w:sz w:val="40"/>
                                <w:szCs w:val="40"/>
                              </w:rPr>
                            </w:pPr>
                            <w:r w:rsidRPr="003F105D">
                              <w:rPr>
                                <w:rFonts w:eastAsia="SimSun"/>
                                <w:sz w:val="40"/>
                                <w:szCs w:val="40"/>
                              </w:rPr>
                              <w:t>Data Analyst</w:t>
                            </w:r>
                          </w:p>
                          <w:p w14:paraId="70545F0E" w14:textId="77777777" w:rsidR="00EE4059" w:rsidRPr="003F105D" w:rsidRDefault="00EE4059" w:rsidP="00EE4059">
                            <w:pPr>
                              <w:jc w:val="center"/>
                              <w:rPr>
                                <w:rFonts w:eastAsia="SimSun"/>
                                <w:sz w:val="40"/>
                                <w:szCs w:val="40"/>
                              </w:rPr>
                            </w:pPr>
                            <w:r w:rsidRPr="003F105D">
                              <w:rPr>
                                <w:rFonts w:eastAsia="SimSun"/>
                                <w:sz w:val="40"/>
                                <w:szCs w:val="40"/>
                              </w:rPr>
                              <w:t>Prepare on September 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A6E0C" id="Text Box 14" o:spid="_x0000_s1029" type="#_x0000_t202" style="position:absolute;left:0;text-align:left;margin-left:168.9pt;margin-top:31.7pt;width:322.25pt;height:9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" filled="f" stroked="f">
                <v:textbox inset="0,0,0,0">
                  <w:txbxContent>
                    <w:p w14:paraId="3CF40C05" w14:textId="77777777" w:rsidR="00EE4059" w:rsidRPr="003F105D" w:rsidRDefault="00EE4059" w:rsidP="00EE4059">
                      <w:pPr>
                        <w:jc w:val="center"/>
                        <w:rPr>
                          <w:rFonts w:eastAsia="SimSun"/>
                          <w:sz w:val="40"/>
                          <w:szCs w:val="40"/>
                        </w:rPr>
                      </w:pPr>
                      <w:r w:rsidRPr="003F105D">
                        <w:rPr>
                          <w:rFonts w:eastAsia="SimSun"/>
                          <w:sz w:val="40"/>
                          <w:szCs w:val="40"/>
                        </w:rPr>
                        <w:t>Tahmid Rahman Siddiki</w:t>
                      </w:r>
                    </w:p>
                    <w:p w14:paraId="797DF607" w14:textId="77777777" w:rsidR="00EE4059" w:rsidRPr="003F105D" w:rsidRDefault="00EE4059" w:rsidP="00EE4059">
                      <w:pPr>
                        <w:jc w:val="center"/>
                        <w:rPr>
                          <w:rFonts w:eastAsia="SimSun"/>
                          <w:sz w:val="40"/>
                          <w:szCs w:val="40"/>
                        </w:rPr>
                      </w:pPr>
                      <w:r w:rsidRPr="003F105D">
                        <w:rPr>
                          <w:rFonts w:eastAsia="SimSun"/>
                          <w:sz w:val="40"/>
                          <w:szCs w:val="40"/>
                        </w:rPr>
                        <w:t>Data Analyst</w:t>
                      </w:r>
                    </w:p>
                    <w:p w14:paraId="70545F0E" w14:textId="77777777" w:rsidR="00EE4059" w:rsidRPr="003F105D" w:rsidRDefault="00EE4059" w:rsidP="00EE4059">
                      <w:pPr>
                        <w:jc w:val="center"/>
                        <w:rPr>
                          <w:rFonts w:eastAsia="SimSun"/>
                          <w:sz w:val="40"/>
                          <w:szCs w:val="40"/>
                        </w:rPr>
                      </w:pPr>
                      <w:r w:rsidRPr="003F105D">
                        <w:rPr>
                          <w:rFonts w:eastAsia="SimSun"/>
                          <w:sz w:val="40"/>
                          <w:szCs w:val="40"/>
                        </w:rPr>
                        <w:t>Prepare on September 2025</w:t>
                      </w:r>
                    </w:p>
                  </w:txbxContent>
                </v:textbox>
              </v:shape>
            </w:pict>
          </mc:Fallback>
        </mc:AlternateContent>
      </w:r>
    </w:p>
    <w:p w14:paraId="4C6CC3E5" w14:textId="699A7281" w:rsidR="00BA7019" w:rsidRDefault="00BA7019" w:rsidP="00104063">
      <w:pPr>
        <w:pStyle w:val="Title"/>
        <w:jc w:val="both"/>
      </w:pPr>
    </w:p>
    <w:p w14:paraId="43CC9726" w14:textId="77777777" w:rsidR="00BA7019" w:rsidRDefault="00BA7019" w:rsidP="00104063">
      <w:pPr>
        <w:pStyle w:val="Title"/>
        <w:jc w:val="both"/>
      </w:pPr>
    </w:p>
    <w:p w14:paraId="23EBFF3C" w14:textId="77777777" w:rsidR="00BA7019" w:rsidRDefault="00BA7019" w:rsidP="00104063">
      <w:pPr>
        <w:pStyle w:val="Title"/>
        <w:jc w:val="both"/>
      </w:pPr>
    </w:p>
    <w:p w14:paraId="5B3A0E30" w14:textId="77777777" w:rsidR="00BA7019" w:rsidRDefault="00BA7019" w:rsidP="00104063">
      <w:pPr>
        <w:pStyle w:val="Title"/>
        <w:jc w:val="both"/>
      </w:pPr>
    </w:p>
    <w:p w14:paraId="596278AC" w14:textId="77777777" w:rsidR="00BA7019" w:rsidRDefault="00BA7019" w:rsidP="00104063">
      <w:pPr>
        <w:pStyle w:val="Title"/>
        <w:jc w:val="both"/>
      </w:pPr>
    </w:p>
    <w:p w14:paraId="1D9E5042" w14:textId="77777777" w:rsidR="00BA7019" w:rsidRDefault="00BA7019" w:rsidP="00104063">
      <w:pPr>
        <w:pStyle w:val="Title"/>
        <w:jc w:val="both"/>
      </w:pPr>
    </w:p>
    <w:p w14:paraId="1F535C3A" w14:textId="77777777" w:rsidR="00BA7019" w:rsidRDefault="00BA7019" w:rsidP="00104063">
      <w:pPr>
        <w:pStyle w:val="Title"/>
        <w:jc w:val="both"/>
      </w:pPr>
    </w:p>
    <w:p w14:paraId="6AF264EB" w14:textId="77777777" w:rsidR="00BA7019" w:rsidRDefault="00BA7019" w:rsidP="00104063">
      <w:pPr>
        <w:pStyle w:val="Title"/>
        <w:jc w:val="both"/>
      </w:pPr>
    </w:p>
    <w:p w14:paraId="2ACA659A" w14:textId="63BD1C3B" w:rsidR="00BA7019" w:rsidRDefault="00B12161" w:rsidP="00104063">
      <w:pPr>
        <w:pStyle w:val="Title"/>
        <w:jc w:val="both"/>
      </w:pPr>
      <w:r>
        <w:rPr>
          <w:noProof/>
        </w:rPr>
        <mc:AlternateContent>
          <mc:Choice Requires="wps">
            <w:drawing>
              <wp:anchor distT="0" distB="0" distL="114300" distR="114300" simplePos="0" relativeHeight="251660288" behindDoc="0" locked="0" layoutInCell="1" allowOverlap="1" wp14:anchorId="32139E63" wp14:editId="6A70A9B5">
                <wp:simplePos x="0" y="0"/>
                <wp:positionH relativeFrom="column">
                  <wp:posOffset>-518160</wp:posOffset>
                </wp:positionH>
                <wp:positionV relativeFrom="paragraph">
                  <wp:posOffset>389255</wp:posOffset>
                </wp:positionV>
                <wp:extent cx="2480310" cy="1091565"/>
                <wp:effectExtent l="0" t="0" r="0" b="3810"/>
                <wp:wrapNone/>
                <wp:docPr id="8491455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091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BD7E3" w14:textId="77777777" w:rsidR="00EE4059" w:rsidRPr="007839A0" w:rsidRDefault="00EE4059" w:rsidP="00EE4059">
                            <w:pPr>
                              <w:rPr>
                                <w:rFonts w:ascii="Agency FB bold" w:hAnsi="Agency FB bold"/>
                                <w:color w:val="FFFFFF" w:themeColor="background1"/>
                                <w:sz w:val="160"/>
                                <w:szCs w:val="160"/>
                              </w:rPr>
                            </w:pPr>
                            <w:r>
                              <w:rPr>
                                <w:rFonts w:ascii="Agency FB bold" w:eastAsia="SimSun" w:hAnsi="Agency FB bold" w:cs="Leelawadee"/>
                                <w:color w:val="FFFFFF" w:themeColor="background1"/>
                                <w:sz w:val="160"/>
                                <w:szCs w:val="160"/>
                              </w:rPr>
                              <w:t>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39E63" id="Text Box 9" o:spid="_x0000_s1030" type="#_x0000_t202" style="position:absolute;left:0;text-align:left;margin-left:-40.8pt;margin-top:30.65pt;width:195.3pt;height:8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" filled="f" stroked="f">
                <v:textbox inset="0,0,0,0">
                  <w:txbxContent>
                    <w:p w14:paraId="409BD7E3" w14:textId="77777777" w:rsidR="00EE4059" w:rsidRPr="007839A0" w:rsidRDefault="00EE4059" w:rsidP="00EE4059">
                      <w:pPr>
                        <w:rPr>
                          <w:rFonts w:ascii="Agency FB bold" w:hAnsi="Agency FB bold"/>
                          <w:color w:val="FFFFFF" w:themeColor="background1"/>
                          <w:sz w:val="160"/>
                          <w:szCs w:val="160"/>
                        </w:rPr>
                      </w:pPr>
                      <w:r>
                        <w:rPr>
                          <w:rFonts w:ascii="Agency FB bold" w:eastAsia="SimSun" w:hAnsi="Agency FB bold" w:cs="Leelawadee"/>
                          <w:color w:val="FFFFFF" w:themeColor="background1"/>
                          <w:sz w:val="160"/>
                          <w:szCs w:val="160"/>
                        </w:rPr>
                        <w:t>2025</w:t>
                      </w:r>
                    </w:p>
                  </w:txbxContent>
                </v:textbox>
              </v:shape>
            </w:pict>
          </mc:Fallback>
        </mc:AlternateContent>
      </w:r>
    </w:p>
    <w:p w14:paraId="291A8226" w14:textId="700A43E9" w:rsidR="00BA7019" w:rsidRDefault="00BA7019" w:rsidP="00104063">
      <w:pPr>
        <w:pStyle w:val="Title"/>
        <w:jc w:val="both"/>
      </w:pPr>
    </w:p>
    <w:p w14:paraId="2555C6B7" w14:textId="1FCF62B3" w:rsidR="00BC1521" w:rsidRDefault="00000000" w:rsidP="00104063">
      <w:pPr>
        <w:pStyle w:val="Title"/>
        <w:jc w:val="both"/>
      </w:pPr>
      <w:r>
        <w:lastRenderedPageBreak/>
        <w:t>E-Commerce Sales Analysis Business Report</w:t>
      </w:r>
    </w:p>
    <w:p w14:paraId="66B50DF4" w14:textId="77777777" w:rsidR="00BC1521" w:rsidRDefault="00000000" w:rsidP="00104063">
      <w:pPr>
        <w:pStyle w:val="MdHeading2"/>
        <w:jc w:val="both"/>
      </w:pPr>
      <w:r>
        <w:t>Executive Summary</w:t>
      </w:r>
    </w:p>
    <w:p w14:paraId="4AE541AD" w14:textId="77777777" w:rsidR="00BC1521" w:rsidRDefault="00000000" w:rsidP="00104063">
      <w:pPr>
        <w:pStyle w:val="MdParagraph"/>
        <w:jc w:val="both"/>
      </w:pPr>
      <w:r>
        <w:t>This report presents a comprehensive analysis of e-commerce sales data, identifying key trends, customer behaviors, and product performance to inform strategic business decisions. The analysis, conducted on approximately 392,000 transactions from 2010–2011, reveals significant insights into sales seasonality, top-performing products and markets, and distinct customer segments. Key findings include a dominant sales contribution from the United Kingdom, strong international growth opportunities in European markets and Australia, and a pronounced seasonal sales spike from September to November. Customer segmentation using RFM (Recency, Frequency, Monetary) analysis categorizes customers into VIP, Loyal, Potential, At Risk, and Lost groups, enabling targeted marketing and retention strategies. The report concludes with actionable recommendations aimed at optimizing inventory, enhancing marketing efforts, and improving customer relationship management to drive revenue growth and mitigate business risks.</w:t>
      </w:r>
    </w:p>
    <w:p w14:paraId="5815633C" w14:textId="77777777" w:rsidR="00BC1521" w:rsidRDefault="00BC1521" w:rsidP="00104063">
      <w:pPr>
        <w:pStyle w:val="MdSpace"/>
        <w:spacing w:after="60"/>
        <w:jc w:val="both"/>
      </w:pPr>
    </w:p>
    <w:p w14:paraId="478CE963" w14:textId="77777777" w:rsidR="00BC1521" w:rsidRPr="00F4745F" w:rsidRDefault="00000000" w:rsidP="00104063">
      <w:pPr>
        <w:pStyle w:val="MdHeading2"/>
        <w:jc w:val="both"/>
      </w:pPr>
      <w:r w:rsidRPr="00F4745F">
        <w:t>1. Introduction</w:t>
      </w:r>
    </w:p>
    <w:p w14:paraId="03E246B9" w14:textId="2DF3063F" w:rsidR="00BC1521" w:rsidRDefault="00000000" w:rsidP="00104063">
      <w:pPr>
        <w:pStyle w:val="MdParagraph"/>
        <w:jc w:val="both"/>
      </w:pPr>
      <w:r>
        <w:t xml:space="preserve">The objective of this project is to leverage data analytics to extract meaningful insights from an e-commerce sales dataset. The primary goal is to understand sales patterns, identify high-value products and customer segments, and provide data-driven recommendations for business optimization. The dataset comprises transactional records from an online retail store, detailing sales activities over a period spanning from December 2010 to December 2011. </w:t>
      </w:r>
    </w:p>
    <w:p w14:paraId="1ABFCCD3" w14:textId="77777777" w:rsidR="00BC1521" w:rsidRDefault="00BC1521" w:rsidP="00104063">
      <w:pPr>
        <w:pStyle w:val="MdSpace"/>
        <w:spacing w:after="60"/>
        <w:jc w:val="both"/>
      </w:pPr>
    </w:p>
    <w:p w14:paraId="4B21752C" w14:textId="77777777" w:rsidR="00BC1521" w:rsidRPr="00F4745F" w:rsidRDefault="00000000" w:rsidP="00104063">
      <w:pPr>
        <w:pStyle w:val="MdHeading2"/>
        <w:jc w:val="both"/>
      </w:pPr>
      <w:r w:rsidRPr="00F4745F">
        <w:t>2. Data Cleaning and Preprocessing</w:t>
      </w:r>
    </w:p>
    <w:p w14:paraId="5D98ED81" w14:textId="77777777" w:rsidR="00BC1521" w:rsidRDefault="00000000" w:rsidP="00104063">
      <w:pPr>
        <w:pStyle w:val="MdParagraph"/>
        <w:jc w:val="both"/>
      </w:pPr>
      <w:r>
        <w:t>Before analysis, the raw dataset underwent a rigorous cleaning and preprocessing phase to ensure data quality and reliability. The initial dataset contained 541,909 entries and 8 columns. The following steps were executed:</w:t>
      </w:r>
    </w:p>
    <w:p w14:paraId="4EDC4381" w14:textId="77777777" w:rsidR="00BC1521" w:rsidRDefault="00BC1521" w:rsidP="00104063">
      <w:pPr>
        <w:pStyle w:val="MdSpace"/>
        <w:spacing w:after="60"/>
        <w:jc w:val="both"/>
      </w:pPr>
    </w:p>
    <w:p w14:paraId="73169D4D" w14:textId="77777777" w:rsidR="00BC1521" w:rsidRDefault="00000000" w:rsidP="00104063">
      <w:pPr>
        <w:pStyle w:val="MdListItem"/>
        <w:numPr>
          <w:ilvl w:val="0"/>
          <w:numId w:val="2"/>
        </w:numPr>
        <w:jc w:val="both"/>
      </w:pPr>
      <w:r>
        <w:rPr>
          <w:rStyle w:val="MdStrong"/>
        </w:rPr>
        <w:t>Duplicate Removal</w:t>
      </w:r>
      <w:r>
        <w:t>: A total of 5,268 exact duplicate rows were identified and removed.</w:t>
      </w:r>
    </w:p>
    <w:p w14:paraId="459D9353" w14:textId="77777777" w:rsidR="00BC1521" w:rsidRDefault="00000000" w:rsidP="00104063">
      <w:pPr>
        <w:pStyle w:val="MdListItem"/>
        <w:numPr>
          <w:ilvl w:val="0"/>
          <w:numId w:val="2"/>
        </w:numPr>
        <w:jc w:val="both"/>
      </w:pPr>
      <w:r>
        <w:rPr>
          <w:rStyle w:val="MdStrong"/>
        </w:rPr>
        <w:t>Handling Missing Values</w:t>
      </w:r>
      <w:r>
        <w:t xml:space="preserve">: Rows with missing </w:t>
      </w:r>
      <w:r>
        <w:rPr>
          <w:u w:val="single"/>
        </w:rPr>
        <w:t>Description</w:t>
      </w:r>
      <w:r>
        <w:t xml:space="preserve"> and </w:t>
      </w:r>
      <w:r>
        <w:rPr>
          <w:u w:val="single"/>
        </w:rPr>
        <w:t>CustomerID</w:t>
      </w:r>
      <w:r>
        <w:t xml:space="preserve"> were dropped, as these are crucial for product identification and customer segmentation, respectively. Initially, 1,454 descriptions and 135,080 customer IDs were missing.</w:t>
      </w:r>
    </w:p>
    <w:p w14:paraId="4929B6D6" w14:textId="77777777" w:rsidR="00BC1521" w:rsidRDefault="00000000" w:rsidP="00104063">
      <w:pPr>
        <w:pStyle w:val="MdListItem"/>
        <w:numPr>
          <w:ilvl w:val="0"/>
          <w:numId w:val="2"/>
        </w:numPr>
        <w:jc w:val="both"/>
      </w:pPr>
      <w:r>
        <w:rPr>
          <w:rStyle w:val="MdStrong"/>
        </w:rPr>
        <w:t>Invalid Transaction Filtering</w:t>
      </w:r>
      <w:r>
        <w:t xml:space="preserve">: Transactions with non-positive </w:t>
      </w:r>
      <w:r>
        <w:rPr>
          <w:u w:val="single"/>
        </w:rPr>
        <w:t>Quantity</w:t>
      </w:r>
      <w:r>
        <w:t xml:space="preserve"> (indicating returns or errors) and non-positive </w:t>
      </w:r>
      <w:proofErr w:type="spellStart"/>
      <w:r>
        <w:rPr>
          <w:u w:val="single"/>
        </w:rPr>
        <w:t>UnitPrice</w:t>
      </w:r>
      <w:proofErr w:type="spellEnd"/>
      <w:r>
        <w:t xml:space="preserve"> were excluded. This step addressed 10,624 rows where </w:t>
      </w:r>
      <w:r>
        <w:rPr>
          <w:u w:val="single"/>
        </w:rPr>
        <w:t>Quantity</w:t>
      </w:r>
      <w:r>
        <w:t xml:space="preserve"> was less than or equal to zero.</w:t>
      </w:r>
    </w:p>
    <w:p w14:paraId="605807DB" w14:textId="77777777" w:rsidR="00BC1521" w:rsidRDefault="00000000" w:rsidP="00104063">
      <w:pPr>
        <w:pStyle w:val="MdListItem"/>
        <w:numPr>
          <w:ilvl w:val="0"/>
          <w:numId w:val="2"/>
        </w:numPr>
        <w:jc w:val="both"/>
      </w:pPr>
      <w:r>
        <w:rPr>
          <w:rStyle w:val="MdStrong"/>
        </w:rPr>
        <w:t>Date Format Standardization</w:t>
      </w:r>
      <w:r>
        <w:t xml:space="preserve">: The </w:t>
      </w:r>
      <w:proofErr w:type="spellStart"/>
      <w:r>
        <w:rPr>
          <w:u w:val="single"/>
        </w:rPr>
        <w:t>InvoiceDate</w:t>
      </w:r>
      <w:proofErr w:type="spellEnd"/>
      <w:r>
        <w:t xml:space="preserve"> column was converted to a proper datetime format, ensuring consistency and enabling time-series analysis. The initial </w:t>
      </w:r>
      <w:r>
        <w:lastRenderedPageBreak/>
        <w:t xml:space="preserve">parsing attempt resulted in 308,950 missing parsed dates due to incorrect format assumption, which was corrected to </w:t>
      </w:r>
      <w:r>
        <w:rPr>
          <w:u w:val="single"/>
        </w:rPr>
        <w:t>%m/%d/%Y %</w:t>
      </w:r>
      <w:proofErr w:type="gramStart"/>
      <w:r>
        <w:rPr>
          <w:u w:val="single"/>
        </w:rPr>
        <w:t>H:%</w:t>
      </w:r>
      <w:proofErr w:type="gramEnd"/>
      <w:r>
        <w:rPr>
          <w:u w:val="single"/>
        </w:rPr>
        <w:t>M</w:t>
      </w:r>
      <w:r>
        <w:t xml:space="preserve"> for successful parsing.</w:t>
      </w:r>
    </w:p>
    <w:p w14:paraId="2C324DC7" w14:textId="77777777" w:rsidR="00BC1521" w:rsidRDefault="00000000" w:rsidP="00104063">
      <w:pPr>
        <w:pStyle w:val="MdListItem"/>
        <w:numPr>
          <w:ilvl w:val="0"/>
          <w:numId w:val="2"/>
        </w:numPr>
        <w:jc w:val="both"/>
      </w:pPr>
      <w:r>
        <w:rPr>
          <w:rStyle w:val="MdStrong"/>
        </w:rPr>
        <w:t>Index Reset</w:t>
      </w:r>
      <w:r>
        <w:t xml:space="preserve">: The </w:t>
      </w:r>
      <w:proofErr w:type="spellStart"/>
      <w:r>
        <w:t>DataFrame</w:t>
      </w:r>
      <w:proofErr w:type="spellEnd"/>
      <w:r>
        <w:t xml:space="preserve"> index was reset after cleaning operations.</w:t>
      </w:r>
    </w:p>
    <w:p w14:paraId="20DE9061" w14:textId="77777777" w:rsidR="00BC1521" w:rsidRDefault="00BC1521" w:rsidP="00104063">
      <w:pPr>
        <w:pStyle w:val="MdSpace"/>
        <w:spacing w:after="60"/>
        <w:jc w:val="both"/>
      </w:pPr>
    </w:p>
    <w:p w14:paraId="15559ED9" w14:textId="77777777" w:rsidR="00BC1521" w:rsidRDefault="00000000" w:rsidP="00104063">
      <w:pPr>
        <w:pStyle w:val="MdParagraph"/>
        <w:jc w:val="both"/>
      </w:pPr>
      <w:r>
        <w:t>Following these cleaning steps, the refined dataset consisted of 392,692 transactions and 9 columns, ready for in-depth analysis.</w:t>
      </w:r>
    </w:p>
    <w:p w14:paraId="10BBBADC" w14:textId="77777777" w:rsidR="00BC1521" w:rsidRDefault="00BC1521" w:rsidP="00104063">
      <w:pPr>
        <w:pStyle w:val="MdSpace"/>
        <w:spacing w:after="60"/>
        <w:jc w:val="both"/>
      </w:pPr>
    </w:p>
    <w:p w14:paraId="0CFC3D1A" w14:textId="77777777" w:rsidR="00BC1521" w:rsidRPr="00F4745F" w:rsidRDefault="00000000" w:rsidP="00104063">
      <w:pPr>
        <w:pStyle w:val="MdHeading2"/>
        <w:jc w:val="both"/>
      </w:pPr>
      <w:r w:rsidRPr="00F4745F">
        <w:t>3. Key Findings and Analysis</w:t>
      </w:r>
    </w:p>
    <w:p w14:paraId="43C0C43E" w14:textId="77777777" w:rsidR="00BC1521" w:rsidRPr="00F4745F" w:rsidRDefault="00000000" w:rsidP="00104063">
      <w:pPr>
        <w:pStyle w:val="MdHeading3"/>
        <w:jc w:val="both"/>
      </w:pPr>
      <w:r w:rsidRPr="00F4745F">
        <w:t>3.1 Product Performance</w:t>
      </w:r>
    </w:p>
    <w:p w14:paraId="55356865" w14:textId="77777777" w:rsidR="00BC1521" w:rsidRDefault="00000000" w:rsidP="00104063">
      <w:pPr>
        <w:pStyle w:val="MdParagraph"/>
        <w:jc w:val="both"/>
      </w:pPr>
      <w:r>
        <w:t>Analysis of product sales revealed a concentration of revenue generated by a few key items, often referred to as "hero products." These products are critical drivers of sales volume and monetary value.</w:t>
      </w:r>
    </w:p>
    <w:p w14:paraId="7CF2DDC7" w14:textId="77777777" w:rsidR="00BC1521" w:rsidRDefault="00BC1521" w:rsidP="00104063">
      <w:pPr>
        <w:pStyle w:val="MdSpace"/>
        <w:spacing w:after="60"/>
        <w:jc w:val="both"/>
      </w:pPr>
    </w:p>
    <w:p w14:paraId="0C331B80" w14:textId="77777777" w:rsidR="00BC1521" w:rsidRDefault="00000000" w:rsidP="00104063">
      <w:pPr>
        <w:pStyle w:val="MdParagraph"/>
        <w:jc w:val="both"/>
      </w:pPr>
      <w:r>
        <w:rPr>
          <w:rStyle w:val="MdStrong"/>
        </w:rPr>
        <w:t>Top 10 Products by Total Sales:</w:t>
      </w:r>
    </w:p>
    <w:p w14:paraId="1FB2A8E3" w14:textId="77777777" w:rsidR="00BC1521" w:rsidRDefault="00BC1521" w:rsidP="00104063">
      <w:pPr>
        <w:pStyle w:val="MdSpace"/>
        <w:spacing w:after="6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6581"/>
        <w:gridCol w:w="2435"/>
      </w:tblGrid>
      <w:tr w:rsidR="00BC1521" w14:paraId="40CA2A96" w14:textId="77777777" w:rsidTr="00F657A1">
        <w:tblPrEx>
          <w:tblCellMar>
            <w:top w:w="0" w:type="dxa"/>
            <w:bottom w:w="0" w:type="dxa"/>
          </w:tblCellMar>
        </w:tblPrEx>
        <w:trPr>
          <w:cantSplit/>
          <w:trHeight w:val="720"/>
          <w:tblHeader/>
        </w:trPr>
        <w:tc>
          <w:tcPr>
            <w:tcW w:w="0" w:type="auto"/>
            <w:tcMar>
              <w:top w:w="100" w:type="dxa"/>
              <w:left w:w="120" w:type="dxa"/>
              <w:bottom w:w="100" w:type="dxa"/>
              <w:right w:w="120" w:type="dxa"/>
            </w:tcMar>
            <w:vAlign w:val="center"/>
          </w:tcPr>
          <w:p w14:paraId="2405C676" w14:textId="77777777" w:rsidR="00BC1521" w:rsidRDefault="00000000" w:rsidP="00104063">
            <w:pPr>
              <w:pStyle w:val="MdTableHeader"/>
              <w:jc w:val="both"/>
            </w:pPr>
            <w:r>
              <w:t>Description</w:t>
            </w:r>
          </w:p>
        </w:tc>
        <w:tc>
          <w:tcPr>
            <w:tcW w:w="0" w:type="auto"/>
            <w:tcMar>
              <w:top w:w="100" w:type="dxa"/>
              <w:left w:w="120" w:type="dxa"/>
              <w:bottom w:w="100" w:type="dxa"/>
              <w:right w:w="120" w:type="dxa"/>
            </w:tcMar>
            <w:vAlign w:val="center"/>
          </w:tcPr>
          <w:p w14:paraId="0C9B66FA" w14:textId="77777777" w:rsidR="00BC1521" w:rsidRDefault="00000000" w:rsidP="00104063">
            <w:pPr>
              <w:pStyle w:val="MdTableHeader"/>
              <w:jc w:val="both"/>
            </w:pPr>
            <w:r>
              <w:t>Total Sales (£)</w:t>
            </w:r>
          </w:p>
        </w:tc>
      </w:tr>
      <w:tr w:rsidR="00BC1521" w14:paraId="31325FFB"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26D084F3" w14:textId="77777777" w:rsidR="00BC1521" w:rsidRDefault="00000000" w:rsidP="00104063">
            <w:pPr>
              <w:pStyle w:val="MdTableCell"/>
              <w:jc w:val="both"/>
            </w:pPr>
            <w:r>
              <w:t xml:space="preserve">PAPER </w:t>
            </w:r>
            <w:proofErr w:type="gramStart"/>
            <w:r>
              <w:t>CRAFT ,</w:t>
            </w:r>
            <w:proofErr w:type="gramEnd"/>
            <w:r>
              <w:t xml:space="preserve"> LITTLE BIRDIE</w:t>
            </w:r>
          </w:p>
        </w:tc>
        <w:tc>
          <w:tcPr>
            <w:tcW w:w="0" w:type="auto"/>
            <w:tcMar>
              <w:top w:w="80" w:type="dxa"/>
              <w:left w:w="120" w:type="dxa"/>
              <w:bottom w:w="80" w:type="dxa"/>
              <w:right w:w="120" w:type="dxa"/>
            </w:tcMar>
            <w:vAlign w:val="center"/>
          </w:tcPr>
          <w:p w14:paraId="28892A8E" w14:textId="77777777" w:rsidR="00BC1521" w:rsidRDefault="00000000" w:rsidP="00104063">
            <w:pPr>
              <w:pStyle w:val="MdTableCell"/>
              <w:jc w:val="both"/>
            </w:pPr>
            <w:r>
              <w:t>168,469.60</w:t>
            </w:r>
          </w:p>
        </w:tc>
      </w:tr>
      <w:tr w:rsidR="00BC1521" w14:paraId="20F6EB7B"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7498E437" w14:textId="77777777" w:rsidR="00BC1521" w:rsidRDefault="00000000" w:rsidP="00104063">
            <w:pPr>
              <w:pStyle w:val="MdTableCell"/>
              <w:jc w:val="both"/>
            </w:pPr>
            <w:r>
              <w:t>REGENCY CAKESTAND 3 TIER</w:t>
            </w:r>
          </w:p>
        </w:tc>
        <w:tc>
          <w:tcPr>
            <w:tcW w:w="0" w:type="auto"/>
            <w:tcMar>
              <w:top w:w="80" w:type="dxa"/>
              <w:left w:w="120" w:type="dxa"/>
              <w:bottom w:w="80" w:type="dxa"/>
              <w:right w:w="120" w:type="dxa"/>
            </w:tcMar>
            <w:vAlign w:val="center"/>
          </w:tcPr>
          <w:p w14:paraId="28780F7D" w14:textId="77777777" w:rsidR="00BC1521" w:rsidRDefault="00000000" w:rsidP="00104063">
            <w:pPr>
              <w:pStyle w:val="MdTableCell"/>
              <w:jc w:val="both"/>
            </w:pPr>
            <w:r>
              <w:t>142,264.75</w:t>
            </w:r>
          </w:p>
        </w:tc>
      </w:tr>
      <w:tr w:rsidR="00BC1521" w14:paraId="53BA16FD"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3BB48295" w14:textId="77777777" w:rsidR="00BC1521" w:rsidRDefault="00000000" w:rsidP="00104063">
            <w:pPr>
              <w:pStyle w:val="MdTableCell"/>
              <w:jc w:val="both"/>
            </w:pPr>
            <w:r>
              <w:t>WHITE HANGING HEART T-LIGHT HOLDER</w:t>
            </w:r>
          </w:p>
        </w:tc>
        <w:tc>
          <w:tcPr>
            <w:tcW w:w="0" w:type="auto"/>
            <w:tcMar>
              <w:top w:w="80" w:type="dxa"/>
              <w:left w:w="120" w:type="dxa"/>
              <w:bottom w:w="80" w:type="dxa"/>
              <w:right w:w="120" w:type="dxa"/>
            </w:tcMar>
            <w:vAlign w:val="center"/>
          </w:tcPr>
          <w:p w14:paraId="1702711D" w14:textId="77777777" w:rsidR="00BC1521" w:rsidRDefault="00000000" w:rsidP="00104063">
            <w:pPr>
              <w:pStyle w:val="MdTableCell"/>
              <w:jc w:val="both"/>
            </w:pPr>
            <w:r>
              <w:t>100,392.10</w:t>
            </w:r>
          </w:p>
        </w:tc>
      </w:tr>
      <w:tr w:rsidR="00BC1521" w14:paraId="44C69B2F"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2510BD41" w14:textId="77777777" w:rsidR="00BC1521" w:rsidRDefault="00000000" w:rsidP="00104063">
            <w:pPr>
              <w:pStyle w:val="MdTableCell"/>
              <w:jc w:val="both"/>
            </w:pPr>
            <w:r>
              <w:t>JUMBO BAG RED RETROSPOT</w:t>
            </w:r>
          </w:p>
        </w:tc>
        <w:tc>
          <w:tcPr>
            <w:tcW w:w="0" w:type="auto"/>
            <w:tcMar>
              <w:top w:w="80" w:type="dxa"/>
              <w:left w:w="120" w:type="dxa"/>
              <w:bottom w:w="80" w:type="dxa"/>
              <w:right w:w="120" w:type="dxa"/>
            </w:tcMar>
            <w:vAlign w:val="center"/>
          </w:tcPr>
          <w:p w14:paraId="0E393C2F" w14:textId="77777777" w:rsidR="00BC1521" w:rsidRDefault="00000000" w:rsidP="00104063">
            <w:pPr>
              <w:pStyle w:val="MdTableCell"/>
              <w:jc w:val="both"/>
            </w:pPr>
            <w:r>
              <w:t>85,040.54</w:t>
            </w:r>
          </w:p>
        </w:tc>
      </w:tr>
      <w:tr w:rsidR="00BC1521" w14:paraId="74B0A55E"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123C3830" w14:textId="77777777" w:rsidR="00BC1521" w:rsidRDefault="00000000" w:rsidP="00104063">
            <w:pPr>
              <w:pStyle w:val="MdTableCell"/>
              <w:jc w:val="both"/>
            </w:pPr>
            <w:r>
              <w:t>MEDIUM CERAMIC TOP STORAGE JAR</w:t>
            </w:r>
          </w:p>
        </w:tc>
        <w:tc>
          <w:tcPr>
            <w:tcW w:w="0" w:type="auto"/>
            <w:tcMar>
              <w:top w:w="80" w:type="dxa"/>
              <w:left w:w="120" w:type="dxa"/>
              <w:bottom w:w="80" w:type="dxa"/>
              <w:right w:w="120" w:type="dxa"/>
            </w:tcMar>
            <w:vAlign w:val="center"/>
          </w:tcPr>
          <w:p w14:paraId="2B44424F" w14:textId="77777777" w:rsidR="00BC1521" w:rsidRDefault="00000000" w:rsidP="00104063">
            <w:pPr>
              <w:pStyle w:val="MdTableCell"/>
              <w:jc w:val="both"/>
            </w:pPr>
            <w:r>
              <w:t>81,416.73</w:t>
            </w:r>
          </w:p>
        </w:tc>
      </w:tr>
      <w:tr w:rsidR="00BC1521" w14:paraId="470BA22D"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37C4EABB" w14:textId="77777777" w:rsidR="00BC1521" w:rsidRDefault="00000000" w:rsidP="00104063">
            <w:pPr>
              <w:pStyle w:val="MdTableCell"/>
              <w:jc w:val="both"/>
            </w:pPr>
            <w:r>
              <w:t>POSTAGE</w:t>
            </w:r>
          </w:p>
        </w:tc>
        <w:tc>
          <w:tcPr>
            <w:tcW w:w="0" w:type="auto"/>
            <w:tcMar>
              <w:top w:w="80" w:type="dxa"/>
              <w:left w:w="120" w:type="dxa"/>
              <w:bottom w:w="80" w:type="dxa"/>
              <w:right w:w="120" w:type="dxa"/>
            </w:tcMar>
            <w:vAlign w:val="center"/>
          </w:tcPr>
          <w:p w14:paraId="186DCAD9" w14:textId="77777777" w:rsidR="00BC1521" w:rsidRDefault="00000000" w:rsidP="00104063">
            <w:pPr>
              <w:pStyle w:val="MdTableCell"/>
              <w:jc w:val="both"/>
            </w:pPr>
            <w:r>
              <w:t>77,803.96</w:t>
            </w:r>
          </w:p>
        </w:tc>
      </w:tr>
      <w:tr w:rsidR="00BC1521" w14:paraId="075EDC70"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24596CCB" w14:textId="77777777" w:rsidR="00BC1521" w:rsidRDefault="00000000" w:rsidP="00104063">
            <w:pPr>
              <w:pStyle w:val="MdTableCell"/>
              <w:jc w:val="both"/>
            </w:pPr>
            <w:r>
              <w:t>PARTY BUNTING</w:t>
            </w:r>
          </w:p>
        </w:tc>
        <w:tc>
          <w:tcPr>
            <w:tcW w:w="0" w:type="auto"/>
            <w:tcMar>
              <w:top w:w="80" w:type="dxa"/>
              <w:left w:w="120" w:type="dxa"/>
              <w:bottom w:w="80" w:type="dxa"/>
              <w:right w:w="120" w:type="dxa"/>
            </w:tcMar>
            <w:vAlign w:val="center"/>
          </w:tcPr>
          <w:p w14:paraId="15AF766C" w14:textId="77777777" w:rsidR="00BC1521" w:rsidRDefault="00000000" w:rsidP="00104063">
            <w:pPr>
              <w:pStyle w:val="MdTableCell"/>
              <w:jc w:val="both"/>
            </w:pPr>
            <w:r>
              <w:t>68,785.23</w:t>
            </w:r>
          </w:p>
        </w:tc>
      </w:tr>
      <w:tr w:rsidR="00BC1521" w14:paraId="23E31A2E"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5D3B67F0" w14:textId="77777777" w:rsidR="00BC1521" w:rsidRDefault="00000000" w:rsidP="00104063">
            <w:pPr>
              <w:pStyle w:val="MdTableCell"/>
              <w:jc w:val="both"/>
            </w:pPr>
            <w:r>
              <w:t>ASSORTED COLOUR BIRD ORNAMENT</w:t>
            </w:r>
          </w:p>
        </w:tc>
        <w:tc>
          <w:tcPr>
            <w:tcW w:w="0" w:type="auto"/>
            <w:tcMar>
              <w:top w:w="80" w:type="dxa"/>
              <w:left w:w="120" w:type="dxa"/>
              <w:bottom w:w="80" w:type="dxa"/>
              <w:right w:w="120" w:type="dxa"/>
            </w:tcMar>
            <w:vAlign w:val="center"/>
          </w:tcPr>
          <w:p w14:paraId="4B0F4551" w14:textId="77777777" w:rsidR="00BC1521" w:rsidRDefault="00000000" w:rsidP="00104063">
            <w:pPr>
              <w:pStyle w:val="MdTableCell"/>
              <w:jc w:val="both"/>
            </w:pPr>
            <w:r>
              <w:t>56,413.03</w:t>
            </w:r>
          </w:p>
        </w:tc>
      </w:tr>
      <w:tr w:rsidR="00BC1521" w14:paraId="6B33732A"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5A7023D0" w14:textId="77777777" w:rsidR="00BC1521" w:rsidRDefault="00000000" w:rsidP="00104063">
            <w:pPr>
              <w:pStyle w:val="MdTableCell"/>
              <w:jc w:val="both"/>
            </w:pPr>
            <w:r>
              <w:t>Manual</w:t>
            </w:r>
          </w:p>
        </w:tc>
        <w:tc>
          <w:tcPr>
            <w:tcW w:w="0" w:type="auto"/>
            <w:tcMar>
              <w:top w:w="80" w:type="dxa"/>
              <w:left w:w="120" w:type="dxa"/>
              <w:bottom w:w="80" w:type="dxa"/>
              <w:right w:w="120" w:type="dxa"/>
            </w:tcMar>
            <w:vAlign w:val="center"/>
          </w:tcPr>
          <w:p w14:paraId="1B1AB8E2" w14:textId="77777777" w:rsidR="00BC1521" w:rsidRDefault="00000000" w:rsidP="00104063">
            <w:pPr>
              <w:pStyle w:val="MdTableCell"/>
              <w:jc w:val="both"/>
            </w:pPr>
            <w:r>
              <w:t>53,419.93</w:t>
            </w:r>
          </w:p>
        </w:tc>
      </w:tr>
      <w:tr w:rsidR="00BC1521" w14:paraId="33D3C530"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2FD613E3" w14:textId="77777777" w:rsidR="00BC1521" w:rsidRDefault="00000000" w:rsidP="00104063">
            <w:pPr>
              <w:pStyle w:val="MdTableCell"/>
              <w:jc w:val="both"/>
            </w:pPr>
            <w:r>
              <w:t>RABBIT NIGHT LIGHT</w:t>
            </w:r>
          </w:p>
        </w:tc>
        <w:tc>
          <w:tcPr>
            <w:tcW w:w="0" w:type="auto"/>
            <w:tcMar>
              <w:top w:w="80" w:type="dxa"/>
              <w:left w:w="120" w:type="dxa"/>
              <w:bottom w:w="80" w:type="dxa"/>
              <w:right w:w="120" w:type="dxa"/>
            </w:tcMar>
            <w:vAlign w:val="center"/>
          </w:tcPr>
          <w:p w14:paraId="42C5A83B" w14:textId="77777777" w:rsidR="00BC1521" w:rsidRDefault="00000000" w:rsidP="00104063">
            <w:pPr>
              <w:pStyle w:val="MdTableCell"/>
              <w:jc w:val="both"/>
            </w:pPr>
            <w:r>
              <w:t>51,251.24</w:t>
            </w:r>
          </w:p>
        </w:tc>
      </w:tr>
    </w:tbl>
    <w:p w14:paraId="5E408F8A" w14:textId="77777777" w:rsidR="00BC1521" w:rsidRDefault="00000000" w:rsidP="00104063">
      <w:pPr>
        <w:pStyle w:val="MdParagraph"/>
        <w:jc w:val="both"/>
      </w:pPr>
      <w:r>
        <w:lastRenderedPageBreak/>
        <w:t>Notably, "POSTAGE" also appears as a significant revenue generator, indicating the importance of shipping services within the business model.</w:t>
      </w:r>
    </w:p>
    <w:p w14:paraId="6DCF7773" w14:textId="77777777" w:rsidR="00BC1521" w:rsidRDefault="00BC1521" w:rsidP="00104063">
      <w:pPr>
        <w:pStyle w:val="MdSpace"/>
        <w:spacing w:after="60"/>
        <w:jc w:val="both"/>
      </w:pPr>
    </w:p>
    <w:p w14:paraId="4B265A35" w14:textId="77777777" w:rsidR="00BC1521" w:rsidRPr="00F4745F" w:rsidRDefault="00000000" w:rsidP="00104063">
      <w:pPr>
        <w:pStyle w:val="MdHeading3"/>
        <w:jc w:val="both"/>
      </w:pPr>
      <w:r w:rsidRPr="00F4745F">
        <w:t>3.2 Geographical Sales Analysis</w:t>
      </w:r>
    </w:p>
    <w:p w14:paraId="195F7E98" w14:textId="77777777" w:rsidR="00BC1521" w:rsidRDefault="00000000" w:rsidP="00104063">
      <w:pPr>
        <w:pStyle w:val="MdParagraph"/>
        <w:jc w:val="both"/>
      </w:pPr>
      <w:r>
        <w:t>The geographical distribution of sales highlights the United Kingdom as the primary market, accounting for over 90% of total sales. However, several international markets demonstrate strong potential for growth.</w:t>
      </w:r>
    </w:p>
    <w:p w14:paraId="7F8850CD" w14:textId="77777777" w:rsidR="00BC1521" w:rsidRDefault="00BC1521" w:rsidP="00104063">
      <w:pPr>
        <w:pStyle w:val="MdSpace"/>
        <w:spacing w:after="60"/>
        <w:jc w:val="both"/>
      </w:pPr>
    </w:p>
    <w:p w14:paraId="2B90C288" w14:textId="77777777" w:rsidR="00BC1521" w:rsidRDefault="00000000" w:rsidP="00104063">
      <w:pPr>
        <w:pStyle w:val="MdParagraph"/>
        <w:jc w:val="both"/>
      </w:pPr>
      <w:r>
        <w:rPr>
          <w:rStyle w:val="MdStrong"/>
        </w:rPr>
        <w:t>Top 10 Countries by Total Sales (Excluding UK):</w:t>
      </w:r>
    </w:p>
    <w:p w14:paraId="6B83B132" w14:textId="77777777" w:rsidR="00BC1521" w:rsidRDefault="00BC1521" w:rsidP="00104063">
      <w:pPr>
        <w:pStyle w:val="MdSpace"/>
        <w:spacing w:after="6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898"/>
        <w:gridCol w:w="5118"/>
      </w:tblGrid>
      <w:tr w:rsidR="00BC1521" w14:paraId="7A2D12E1" w14:textId="77777777" w:rsidTr="00F657A1">
        <w:tblPrEx>
          <w:tblCellMar>
            <w:top w:w="0" w:type="dxa"/>
            <w:bottom w:w="0" w:type="dxa"/>
          </w:tblCellMar>
        </w:tblPrEx>
        <w:trPr>
          <w:cantSplit/>
          <w:trHeight w:val="720"/>
          <w:tblHeader/>
        </w:trPr>
        <w:tc>
          <w:tcPr>
            <w:tcW w:w="0" w:type="auto"/>
            <w:tcMar>
              <w:top w:w="100" w:type="dxa"/>
              <w:left w:w="120" w:type="dxa"/>
              <w:bottom w:w="100" w:type="dxa"/>
              <w:right w:w="120" w:type="dxa"/>
            </w:tcMar>
            <w:vAlign w:val="center"/>
          </w:tcPr>
          <w:p w14:paraId="3631CA8B" w14:textId="77777777" w:rsidR="00BC1521" w:rsidRDefault="00000000" w:rsidP="00104063">
            <w:pPr>
              <w:pStyle w:val="MdTableHeader"/>
              <w:jc w:val="both"/>
            </w:pPr>
            <w:r>
              <w:t>Country</w:t>
            </w:r>
          </w:p>
        </w:tc>
        <w:tc>
          <w:tcPr>
            <w:tcW w:w="0" w:type="auto"/>
            <w:tcMar>
              <w:top w:w="100" w:type="dxa"/>
              <w:left w:w="120" w:type="dxa"/>
              <w:bottom w:w="100" w:type="dxa"/>
              <w:right w:w="120" w:type="dxa"/>
            </w:tcMar>
            <w:vAlign w:val="center"/>
          </w:tcPr>
          <w:p w14:paraId="2F34083F" w14:textId="77777777" w:rsidR="00BC1521" w:rsidRDefault="00000000" w:rsidP="00104063">
            <w:pPr>
              <w:pStyle w:val="MdTableHeader"/>
              <w:jc w:val="both"/>
            </w:pPr>
            <w:r>
              <w:t>Total Sales (£)</w:t>
            </w:r>
          </w:p>
        </w:tc>
      </w:tr>
      <w:tr w:rsidR="00BC1521" w14:paraId="165042EE"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2E3A3235" w14:textId="77777777" w:rsidR="00BC1521" w:rsidRDefault="00000000" w:rsidP="00104063">
            <w:pPr>
              <w:pStyle w:val="MdTableCell"/>
              <w:jc w:val="both"/>
            </w:pPr>
            <w:r>
              <w:t>Netherlands</w:t>
            </w:r>
          </w:p>
        </w:tc>
        <w:tc>
          <w:tcPr>
            <w:tcW w:w="0" w:type="auto"/>
            <w:tcMar>
              <w:top w:w="80" w:type="dxa"/>
              <w:left w:w="120" w:type="dxa"/>
              <w:bottom w:w="80" w:type="dxa"/>
              <w:right w:w="120" w:type="dxa"/>
            </w:tcMar>
            <w:vAlign w:val="center"/>
          </w:tcPr>
          <w:p w14:paraId="09A4E776" w14:textId="77777777" w:rsidR="00BC1521" w:rsidRDefault="00000000" w:rsidP="00104063">
            <w:pPr>
              <w:pStyle w:val="MdTableCell"/>
              <w:jc w:val="both"/>
            </w:pPr>
            <w:r>
              <w:t>285,446.34</w:t>
            </w:r>
          </w:p>
        </w:tc>
      </w:tr>
      <w:tr w:rsidR="00BC1521" w14:paraId="1743F223"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20246C9F" w14:textId="77777777" w:rsidR="00BC1521" w:rsidRDefault="00000000" w:rsidP="00104063">
            <w:pPr>
              <w:pStyle w:val="MdTableCell"/>
              <w:jc w:val="both"/>
            </w:pPr>
            <w:r>
              <w:t>EIRE</w:t>
            </w:r>
          </w:p>
        </w:tc>
        <w:tc>
          <w:tcPr>
            <w:tcW w:w="0" w:type="auto"/>
            <w:tcMar>
              <w:top w:w="80" w:type="dxa"/>
              <w:left w:w="120" w:type="dxa"/>
              <w:bottom w:w="80" w:type="dxa"/>
              <w:right w:w="120" w:type="dxa"/>
            </w:tcMar>
            <w:vAlign w:val="center"/>
          </w:tcPr>
          <w:p w14:paraId="3067C02B" w14:textId="77777777" w:rsidR="00BC1521" w:rsidRDefault="00000000" w:rsidP="00104063">
            <w:pPr>
              <w:pStyle w:val="MdTableCell"/>
              <w:jc w:val="both"/>
            </w:pPr>
            <w:r>
              <w:t>265,262.46</w:t>
            </w:r>
          </w:p>
        </w:tc>
      </w:tr>
      <w:tr w:rsidR="00BC1521" w14:paraId="12F5C05F"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24ACEB41" w14:textId="77777777" w:rsidR="00BC1521" w:rsidRDefault="00000000" w:rsidP="00104063">
            <w:pPr>
              <w:pStyle w:val="MdTableCell"/>
              <w:jc w:val="both"/>
            </w:pPr>
            <w:r>
              <w:t>Germany</w:t>
            </w:r>
          </w:p>
        </w:tc>
        <w:tc>
          <w:tcPr>
            <w:tcW w:w="0" w:type="auto"/>
            <w:tcMar>
              <w:top w:w="80" w:type="dxa"/>
              <w:left w:w="120" w:type="dxa"/>
              <w:bottom w:w="80" w:type="dxa"/>
              <w:right w:w="120" w:type="dxa"/>
            </w:tcMar>
            <w:vAlign w:val="center"/>
          </w:tcPr>
          <w:p w14:paraId="18C9DB7B" w14:textId="77777777" w:rsidR="00BC1521" w:rsidRDefault="00000000" w:rsidP="00104063">
            <w:pPr>
              <w:pStyle w:val="MdTableCell"/>
              <w:jc w:val="both"/>
            </w:pPr>
            <w:r>
              <w:t>228,678.40</w:t>
            </w:r>
          </w:p>
        </w:tc>
      </w:tr>
      <w:tr w:rsidR="00BC1521" w14:paraId="35B05290"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78E1C94F" w14:textId="77777777" w:rsidR="00BC1521" w:rsidRDefault="00000000" w:rsidP="00104063">
            <w:pPr>
              <w:pStyle w:val="MdTableCell"/>
              <w:jc w:val="both"/>
            </w:pPr>
            <w:r>
              <w:t>France</w:t>
            </w:r>
          </w:p>
        </w:tc>
        <w:tc>
          <w:tcPr>
            <w:tcW w:w="0" w:type="auto"/>
            <w:tcMar>
              <w:top w:w="80" w:type="dxa"/>
              <w:left w:w="120" w:type="dxa"/>
              <w:bottom w:w="80" w:type="dxa"/>
              <w:right w:w="120" w:type="dxa"/>
            </w:tcMar>
            <w:vAlign w:val="center"/>
          </w:tcPr>
          <w:p w14:paraId="08F4E2E0" w14:textId="77777777" w:rsidR="00BC1521" w:rsidRDefault="00000000" w:rsidP="00104063">
            <w:pPr>
              <w:pStyle w:val="MdTableCell"/>
              <w:jc w:val="both"/>
            </w:pPr>
            <w:r>
              <w:t>208,934.31</w:t>
            </w:r>
          </w:p>
        </w:tc>
      </w:tr>
      <w:tr w:rsidR="00BC1521" w14:paraId="7584049A"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485C3814" w14:textId="77777777" w:rsidR="00BC1521" w:rsidRDefault="00000000" w:rsidP="00104063">
            <w:pPr>
              <w:pStyle w:val="MdTableCell"/>
              <w:jc w:val="both"/>
            </w:pPr>
            <w:r>
              <w:t>Australia</w:t>
            </w:r>
          </w:p>
        </w:tc>
        <w:tc>
          <w:tcPr>
            <w:tcW w:w="0" w:type="auto"/>
            <w:tcMar>
              <w:top w:w="80" w:type="dxa"/>
              <w:left w:w="120" w:type="dxa"/>
              <w:bottom w:w="80" w:type="dxa"/>
              <w:right w:w="120" w:type="dxa"/>
            </w:tcMar>
            <w:vAlign w:val="center"/>
          </w:tcPr>
          <w:p w14:paraId="14E021F9" w14:textId="77777777" w:rsidR="00BC1521" w:rsidRDefault="00000000" w:rsidP="00104063">
            <w:pPr>
              <w:pStyle w:val="MdTableCell"/>
              <w:jc w:val="both"/>
            </w:pPr>
            <w:r>
              <w:t>138,453.81</w:t>
            </w:r>
          </w:p>
        </w:tc>
      </w:tr>
      <w:tr w:rsidR="00BC1521" w14:paraId="5D173213"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64B17C28" w14:textId="77777777" w:rsidR="00BC1521" w:rsidRDefault="00000000" w:rsidP="00104063">
            <w:pPr>
              <w:pStyle w:val="MdTableCell"/>
              <w:jc w:val="both"/>
            </w:pPr>
            <w:r>
              <w:t>Spain</w:t>
            </w:r>
          </w:p>
        </w:tc>
        <w:tc>
          <w:tcPr>
            <w:tcW w:w="0" w:type="auto"/>
            <w:tcMar>
              <w:top w:w="80" w:type="dxa"/>
              <w:left w:w="120" w:type="dxa"/>
              <w:bottom w:w="80" w:type="dxa"/>
              <w:right w:w="120" w:type="dxa"/>
            </w:tcMar>
            <w:vAlign w:val="center"/>
          </w:tcPr>
          <w:p w14:paraId="07F5003F" w14:textId="77777777" w:rsidR="00BC1521" w:rsidRDefault="00000000" w:rsidP="00104063">
            <w:pPr>
              <w:pStyle w:val="MdTableCell"/>
              <w:jc w:val="both"/>
            </w:pPr>
            <w:r>
              <w:t>61,558.56</w:t>
            </w:r>
          </w:p>
        </w:tc>
      </w:tr>
      <w:tr w:rsidR="00BC1521" w14:paraId="6C3DEE85"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5DE8DDCA" w14:textId="77777777" w:rsidR="00BC1521" w:rsidRDefault="00000000" w:rsidP="00104063">
            <w:pPr>
              <w:pStyle w:val="MdTableCell"/>
              <w:jc w:val="both"/>
            </w:pPr>
            <w:r>
              <w:t>Switzerland</w:t>
            </w:r>
          </w:p>
        </w:tc>
        <w:tc>
          <w:tcPr>
            <w:tcW w:w="0" w:type="auto"/>
            <w:tcMar>
              <w:top w:w="80" w:type="dxa"/>
              <w:left w:w="120" w:type="dxa"/>
              <w:bottom w:w="80" w:type="dxa"/>
              <w:right w:w="120" w:type="dxa"/>
            </w:tcMar>
            <w:vAlign w:val="center"/>
          </w:tcPr>
          <w:p w14:paraId="499174E2" w14:textId="77777777" w:rsidR="00BC1521" w:rsidRDefault="00000000" w:rsidP="00104063">
            <w:pPr>
              <w:pStyle w:val="MdTableCell"/>
              <w:jc w:val="both"/>
            </w:pPr>
            <w:r>
              <w:t>56,443.95</w:t>
            </w:r>
          </w:p>
        </w:tc>
      </w:tr>
      <w:tr w:rsidR="00BC1521" w14:paraId="0CCD4157"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1EF45E27" w14:textId="77777777" w:rsidR="00BC1521" w:rsidRDefault="00000000" w:rsidP="00104063">
            <w:pPr>
              <w:pStyle w:val="MdTableCell"/>
              <w:jc w:val="both"/>
            </w:pPr>
            <w:r>
              <w:t>Belgium</w:t>
            </w:r>
          </w:p>
        </w:tc>
        <w:tc>
          <w:tcPr>
            <w:tcW w:w="0" w:type="auto"/>
            <w:tcMar>
              <w:top w:w="80" w:type="dxa"/>
              <w:left w:w="120" w:type="dxa"/>
              <w:bottom w:w="80" w:type="dxa"/>
              <w:right w:w="120" w:type="dxa"/>
            </w:tcMar>
            <w:vAlign w:val="center"/>
          </w:tcPr>
          <w:p w14:paraId="1FCCBF22" w14:textId="77777777" w:rsidR="00BC1521" w:rsidRDefault="00000000" w:rsidP="00104063">
            <w:pPr>
              <w:pStyle w:val="MdTableCell"/>
              <w:jc w:val="both"/>
            </w:pPr>
            <w:r>
              <w:t>41,196.34</w:t>
            </w:r>
          </w:p>
        </w:tc>
      </w:tr>
      <w:tr w:rsidR="00BC1521" w14:paraId="1A2227D4"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39504CBF" w14:textId="77777777" w:rsidR="00BC1521" w:rsidRDefault="00000000" w:rsidP="00104063">
            <w:pPr>
              <w:pStyle w:val="MdTableCell"/>
              <w:jc w:val="both"/>
            </w:pPr>
            <w:r>
              <w:t>Sweden</w:t>
            </w:r>
          </w:p>
        </w:tc>
        <w:tc>
          <w:tcPr>
            <w:tcW w:w="0" w:type="auto"/>
            <w:tcMar>
              <w:top w:w="80" w:type="dxa"/>
              <w:left w:w="120" w:type="dxa"/>
              <w:bottom w:w="80" w:type="dxa"/>
              <w:right w:w="120" w:type="dxa"/>
            </w:tcMar>
            <w:vAlign w:val="center"/>
          </w:tcPr>
          <w:p w14:paraId="589D0052" w14:textId="77777777" w:rsidR="00BC1521" w:rsidRDefault="00000000" w:rsidP="00104063">
            <w:pPr>
              <w:pStyle w:val="MdTableCell"/>
              <w:jc w:val="both"/>
            </w:pPr>
            <w:r>
              <w:t>38,367.83</w:t>
            </w:r>
          </w:p>
        </w:tc>
      </w:tr>
      <w:tr w:rsidR="00BC1521" w14:paraId="2712411A" w14:textId="77777777" w:rsidTr="00F657A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2B5EA1EB" w14:textId="77777777" w:rsidR="00BC1521" w:rsidRDefault="00000000" w:rsidP="00104063">
            <w:pPr>
              <w:pStyle w:val="MdTableCell"/>
              <w:jc w:val="both"/>
            </w:pPr>
            <w:r>
              <w:t>Japan</w:t>
            </w:r>
          </w:p>
        </w:tc>
        <w:tc>
          <w:tcPr>
            <w:tcW w:w="0" w:type="auto"/>
            <w:tcMar>
              <w:top w:w="80" w:type="dxa"/>
              <w:left w:w="120" w:type="dxa"/>
              <w:bottom w:w="80" w:type="dxa"/>
              <w:right w:w="120" w:type="dxa"/>
            </w:tcMar>
            <w:vAlign w:val="center"/>
          </w:tcPr>
          <w:p w14:paraId="68768D29" w14:textId="77777777" w:rsidR="00BC1521" w:rsidRDefault="00000000" w:rsidP="00104063">
            <w:pPr>
              <w:pStyle w:val="MdTableCell"/>
              <w:jc w:val="both"/>
            </w:pPr>
            <w:r>
              <w:t>37,416.37</w:t>
            </w:r>
          </w:p>
        </w:tc>
      </w:tr>
    </w:tbl>
    <w:p w14:paraId="025848CF" w14:textId="77777777" w:rsidR="00BC1521" w:rsidRDefault="00000000" w:rsidP="00104063">
      <w:pPr>
        <w:pStyle w:val="MdParagraph"/>
        <w:jc w:val="both"/>
      </w:pPr>
      <w:r>
        <w:t>The Netherlands, EIRE (Ireland), Germany, and France represent the strongest European markets, while Australia stands out as a significant overseas contributor, despite potentially higher logistical costs.</w:t>
      </w:r>
    </w:p>
    <w:p w14:paraId="0FEDCFD2" w14:textId="77777777" w:rsidR="00BC1521" w:rsidRDefault="00BC1521" w:rsidP="00104063">
      <w:pPr>
        <w:pStyle w:val="MdSpace"/>
        <w:spacing w:after="60"/>
        <w:jc w:val="both"/>
      </w:pPr>
    </w:p>
    <w:p w14:paraId="314A5B9F" w14:textId="77777777" w:rsidR="00BC1521" w:rsidRPr="00F4745F" w:rsidRDefault="00000000" w:rsidP="00104063">
      <w:pPr>
        <w:pStyle w:val="MdHeading3"/>
        <w:jc w:val="both"/>
      </w:pPr>
      <w:r w:rsidRPr="00F4745F">
        <w:lastRenderedPageBreak/>
        <w:t>3.3 Monthly Sales Trend</w:t>
      </w:r>
    </w:p>
    <w:p w14:paraId="0CA9B350" w14:textId="77777777" w:rsidR="00BC1521" w:rsidRDefault="00000000" w:rsidP="00104063">
      <w:pPr>
        <w:pStyle w:val="MdParagraph"/>
        <w:jc w:val="both"/>
      </w:pPr>
      <w:r>
        <w:t>The monthly sales trend reveals a distinct seasonal pattern, crucial for inventory management and marketing campaign planning. The provided chart illustrates this trend:</w:t>
      </w:r>
    </w:p>
    <w:p w14:paraId="4E4A6218" w14:textId="77777777" w:rsidR="0065729F" w:rsidRDefault="0065729F" w:rsidP="00104063">
      <w:pPr>
        <w:pStyle w:val="MdParagraph"/>
        <w:jc w:val="both"/>
      </w:pPr>
    </w:p>
    <w:p w14:paraId="6550C1A7" w14:textId="77777777" w:rsidR="00BC1521" w:rsidRDefault="00BC1521" w:rsidP="00104063">
      <w:pPr>
        <w:pStyle w:val="MdSpace"/>
        <w:spacing w:after="60"/>
        <w:jc w:val="both"/>
      </w:pPr>
    </w:p>
    <w:p w14:paraId="66220958" w14:textId="412E76C5" w:rsidR="00BC1521" w:rsidRDefault="00F657A1" w:rsidP="00104063">
      <w:pPr>
        <w:pStyle w:val="MdParagraph"/>
        <w:jc w:val="both"/>
      </w:pPr>
      <w:r>
        <w:rPr>
          <w:noProof/>
        </w:rPr>
        <w:drawing>
          <wp:inline distT="0" distB="0" distL="0" distR="0" wp14:anchorId="748A36B6" wp14:editId="43C394C1">
            <wp:extent cx="5724525" cy="2857500"/>
            <wp:effectExtent l="0" t="0" r="9525" b="0"/>
            <wp:docPr id="175703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14:paraId="42CD6177" w14:textId="77777777" w:rsidR="00BC1521" w:rsidRDefault="00BC1521" w:rsidP="00104063">
      <w:pPr>
        <w:pStyle w:val="MdSpace"/>
        <w:spacing w:after="60"/>
        <w:jc w:val="both"/>
      </w:pPr>
    </w:p>
    <w:p w14:paraId="62699461" w14:textId="77777777" w:rsidR="0065729F" w:rsidRDefault="0065729F" w:rsidP="00104063">
      <w:pPr>
        <w:pStyle w:val="MdParagraph"/>
        <w:jc w:val="both"/>
        <w:rPr>
          <w:rStyle w:val="MdStrong"/>
        </w:rPr>
      </w:pPr>
    </w:p>
    <w:p w14:paraId="5C20ECAB" w14:textId="16A210C2" w:rsidR="00BC1521" w:rsidRDefault="00000000" w:rsidP="00104063">
      <w:pPr>
        <w:pStyle w:val="MdParagraph"/>
        <w:jc w:val="both"/>
      </w:pPr>
      <w:r>
        <w:rPr>
          <w:rStyle w:val="MdStrong"/>
        </w:rPr>
        <w:t>Figure 1: Monthly Sales Trend (December 2010 - December 2011)</w:t>
      </w:r>
    </w:p>
    <w:p w14:paraId="76243F2C" w14:textId="77777777" w:rsidR="00BC1521" w:rsidRDefault="00BC1521" w:rsidP="00104063">
      <w:pPr>
        <w:pStyle w:val="MdSpace"/>
        <w:spacing w:after="60"/>
        <w:jc w:val="both"/>
      </w:pPr>
    </w:p>
    <w:p w14:paraId="67988021" w14:textId="77777777" w:rsidR="00BC1521" w:rsidRDefault="00000000" w:rsidP="00104063">
      <w:pPr>
        <w:pStyle w:val="MdParagraph"/>
        <w:jc w:val="both"/>
      </w:pPr>
      <w:r>
        <w:t>The trend shows relatively stable sales in early 2011, followed by a significant increase from September to November, peaking in November. This surge is characteristic of holiday shopping seasons. A sharp decline is observed in December, which can be attributed to the natural end of the holiday peak and potentially incomplete data for the month.</w:t>
      </w:r>
    </w:p>
    <w:p w14:paraId="60789988" w14:textId="77777777" w:rsidR="00F657A1" w:rsidRDefault="00F657A1" w:rsidP="00104063">
      <w:pPr>
        <w:pStyle w:val="MdParagraph"/>
        <w:jc w:val="both"/>
      </w:pPr>
    </w:p>
    <w:p w14:paraId="55A39AA2" w14:textId="77777777" w:rsidR="00F657A1" w:rsidRDefault="00F657A1" w:rsidP="00104063">
      <w:pPr>
        <w:pStyle w:val="MdParagraph"/>
        <w:jc w:val="both"/>
      </w:pPr>
    </w:p>
    <w:p w14:paraId="67337A57" w14:textId="77777777" w:rsidR="00F657A1" w:rsidRDefault="00F657A1" w:rsidP="00104063">
      <w:pPr>
        <w:pStyle w:val="MdParagraph"/>
        <w:jc w:val="both"/>
      </w:pPr>
    </w:p>
    <w:p w14:paraId="5D71687C" w14:textId="77777777" w:rsidR="00F657A1" w:rsidRDefault="00F657A1" w:rsidP="00104063">
      <w:pPr>
        <w:pStyle w:val="MdParagraph"/>
        <w:jc w:val="both"/>
      </w:pPr>
    </w:p>
    <w:p w14:paraId="4FCBF39E" w14:textId="77777777" w:rsidR="00F657A1" w:rsidRDefault="00F657A1" w:rsidP="00104063">
      <w:pPr>
        <w:pStyle w:val="MdParagraph"/>
        <w:jc w:val="both"/>
      </w:pPr>
    </w:p>
    <w:p w14:paraId="6D23E6D8" w14:textId="77777777" w:rsidR="00F657A1" w:rsidRDefault="00F657A1" w:rsidP="00104063">
      <w:pPr>
        <w:pStyle w:val="MdParagraph"/>
        <w:jc w:val="both"/>
      </w:pPr>
    </w:p>
    <w:p w14:paraId="7E5A84DB" w14:textId="77777777" w:rsidR="00F657A1" w:rsidRDefault="00F657A1" w:rsidP="00104063">
      <w:pPr>
        <w:pStyle w:val="MdParagraph"/>
        <w:jc w:val="both"/>
      </w:pPr>
    </w:p>
    <w:p w14:paraId="49D3D8C2" w14:textId="77777777" w:rsidR="00F657A1" w:rsidRDefault="00F657A1" w:rsidP="00104063">
      <w:pPr>
        <w:pStyle w:val="MdParagraph"/>
        <w:jc w:val="both"/>
      </w:pPr>
    </w:p>
    <w:p w14:paraId="3B2AA670" w14:textId="77777777" w:rsidR="00F657A1" w:rsidRDefault="00F657A1" w:rsidP="00104063">
      <w:pPr>
        <w:pStyle w:val="MdParagraph"/>
        <w:jc w:val="both"/>
      </w:pPr>
    </w:p>
    <w:p w14:paraId="27206F87" w14:textId="77777777" w:rsidR="00F657A1" w:rsidRDefault="00F657A1" w:rsidP="00104063">
      <w:pPr>
        <w:pStyle w:val="MdParagraph"/>
        <w:jc w:val="both"/>
      </w:pPr>
    </w:p>
    <w:p w14:paraId="607869A6" w14:textId="77777777" w:rsidR="00BC1521" w:rsidRDefault="00BC1521" w:rsidP="00104063">
      <w:pPr>
        <w:pStyle w:val="MdSpace"/>
        <w:spacing w:after="60"/>
        <w:jc w:val="both"/>
      </w:pPr>
    </w:p>
    <w:p w14:paraId="49DA1D71" w14:textId="77777777" w:rsidR="00F657A1" w:rsidRDefault="00F657A1" w:rsidP="00104063">
      <w:pPr>
        <w:pStyle w:val="MdSpace"/>
        <w:spacing w:after="60"/>
        <w:jc w:val="both"/>
      </w:pPr>
    </w:p>
    <w:p w14:paraId="087CBC71" w14:textId="77777777" w:rsidR="00F657A1" w:rsidRDefault="00F657A1" w:rsidP="00104063">
      <w:pPr>
        <w:pStyle w:val="MdSpace"/>
        <w:spacing w:after="60"/>
        <w:jc w:val="both"/>
      </w:pPr>
    </w:p>
    <w:p w14:paraId="0679E238" w14:textId="77777777" w:rsidR="00BC1521" w:rsidRPr="00F4745F" w:rsidRDefault="00000000" w:rsidP="00104063">
      <w:pPr>
        <w:pStyle w:val="MdHeading3"/>
        <w:jc w:val="both"/>
      </w:pPr>
      <w:r w:rsidRPr="00F4745F">
        <w:lastRenderedPageBreak/>
        <w:t>3.4 Customer Behavior</w:t>
      </w:r>
    </w:p>
    <w:p w14:paraId="0CE83AD0" w14:textId="77777777" w:rsidR="00BC1521" w:rsidRDefault="00000000" w:rsidP="00104063">
      <w:pPr>
        <w:pStyle w:val="MdParagraph"/>
        <w:jc w:val="both"/>
      </w:pPr>
      <w:r>
        <w:t>The customer base consists of 4,338 unique customers, with an average order value of £68.38. A critical insight is the substantial reliance on a small number of high-value customers. The top three customers alone contributed over £700,000 in sales, underscoring the importance of customer loyalty and retention strategies for these key accounts.</w:t>
      </w:r>
    </w:p>
    <w:p w14:paraId="3B49CBC8" w14:textId="77777777" w:rsidR="00C46B76" w:rsidRDefault="00C46B76" w:rsidP="00104063">
      <w:pPr>
        <w:pStyle w:val="MdParagraph"/>
        <w:jc w:val="both"/>
      </w:pPr>
    </w:p>
    <w:p w14:paraId="44250771" w14:textId="77777777" w:rsidR="00BC1521" w:rsidRDefault="00BC1521" w:rsidP="00104063">
      <w:pPr>
        <w:pStyle w:val="MdSpace"/>
        <w:spacing w:after="60"/>
        <w:jc w:val="both"/>
      </w:pPr>
    </w:p>
    <w:p w14:paraId="5B9B57A3" w14:textId="77777777" w:rsidR="00BC1521" w:rsidRDefault="00000000" w:rsidP="00104063">
      <w:pPr>
        <w:pStyle w:val="MdParagraph"/>
        <w:jc w:val="both"/>
        <w:rPr>
          <w:rStyle w:val="MdStrong"/>
        </w:rPr>
      </w:pPr>
      <w:r>
        <w:rPr>
          <w:rStyle w:val="MdStrong"/>
        </w:rPr>
        <w:t>Top 10 Customers by Total Spend: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251"/>
        <w:gridCol w:w="4765"/>
      </w:tblGrid>
      <w:tr w:rsidR="00C46B76" w14:paraId="0ED55FA8" w14:textId="77777777" w:rsidTr="00D21991">
        <w:tblPrEx>
          <w:tblCellMar>
            <w:top w:w="0" w:type="dxa"/>
            <w:bottom w:w="0" w:type="dxa"/>
          </w:tblCellMar>
        </w:tblPrEx>
        <w:trPr>
          <w:cantSplit/>
          <w:trHeight w:val="720"/>
          <w:tblHeader/>
        </w:trPr>
        <w:tc>
          <w:tcPr>
            <w:tcW w:w="0" w:type="auto"/>
            <w:tcMar>
              <w:top w:w="100" w:type="dxa"/>
              <w:left w:w="120" w:type="dxa"/>
              <w:bottom w:w="100" w:type="dxa"/>
              <w:right w:w="120" w:type="dxa"/>
            </w:tcMar>
            <w:vAlign w:val="center"/>
          </w:tcPr>
          <w:p w14:paraId="15E921BF" w14:textId="77777777" w:rsidR="00C46B76" w:rsidRDefault="00C46B76" w:rsidP="00104063">
            <w:pPr>
              <w:pStyle w:val="MdTableHeader"/>
              <w:jc w:val="both"/>
            </w:pPr>
            <w:r>
              <w:t>CustomerID</w:t>
            </w:r>
          </w:p>
        </w:tc>
        <w:tc>
          <w:tcPr>
            <w:tcW w:w="0" w:type="auto"/>
            <w:tcMar>
              <w:top w:w="100" w:type="dxa"/>
              <w:left w:w="120" w:type="dxa"/>
              <w:bottom w:w="100" w:type="dxa"/>
              <w:right w:w="120" w:type="dxa"/>
            </w:tcMar>
            <w:vAlign w:val="center"/>
          </w:tcPr>
          <w:p w14:paraId="2BC06452" w14:textId="77777777" w:rsidR="00C46B76" w:rsidRDefault="00C46B76" w:rsidP="00104063">
            <w:pPr>
              <w:pStyle w:val="MdTableHeader"/>
              <w:jc w:val="both"/>
            </w:pPr>
            <w:r>
              <w:t>Total Sales (£)</w:t>
            </w:r>
          </w:p>
        </w:tc>
      </w:tr>
      <w:tr w:rsidR="00C46B76" w14:paraId="6C1D18DB" w14:textId="77777777" w:rsidTr="00D2199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2AC3568C" w14:textId="77777777" w:rsidR="00C46B76" w:rsidRDefault="00C46B76" w:rsidP="00104063">
            <w:pPr>
              <w:pStyle w:val="MdTableCell"/>
              <w:jc w:val="both"/>
            </w:pPr>
            <w:r>
              <w:t>14646.0</w:t>
            </w:r>
          </w:p>
        </w:tc>
        <w:tc>
          <w:tcPr>
            <w:tcW w:w="0" w:type="auto"/>
            <w:tcMar>
              <w:top w:w="80" w:type="dxa"/>
              <w:left w:w="120" w:type="dxa"/>
              <w:bottom w:w="80" w:type="dxa"/>
              <w:right w:w="120" w:type="dxa"/>
            </w:tcMar>
            <w:vAlign w:val="center"/>
          </w:tcPr>
          <w:p w14:paraId="22DBFA46" w14:textId="77777777" w:rsidR="00C46B76" w:rsidRDefault="00C46B76" w:rsidP="00104063">
            <w:pPr>
              <w:pStyle w:val="MdTableCell"/>
              <w:jc w:val="both"/>
            </w:pPr>
            <w:r>
              <w:t>280,206.02</w:t>
            </w:r>
          </w:p>
        </w:tc>
      </w:tr>
      <w:tr w:rsidR="00C46B76" w14:paraId="2896356A" w14:textId="77777777" w:rsidTr="00D2199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334F8A10" w14:textId="77777777" w:rsidR="00C46B76" w:rsidRDefault="00C46B76" w:rsidP="00104063">
            <w:pPr>
              <w:pStyle w:val="MdTableCell"/>
              <w:jc w:val="both"/>
            </w:pPr>
            <w:r>
              <w:t>18102.0</w:t>
            </w:r>
          </w:p>
        </w:tc>
        <w:tc>
          <w:tcPr>
            <w:tcW w:w="0" w:type="auto"/>
            <w:tcMar>
              <w:top w:w="80" w:type="dxa"/>
              <w:left w:w="120" w:type="dxa"/>
              <w:bottom w:w="80" w:type="dxa"/>
              <w:right w:w="120" w:type="dxa"/>
            </w:tcMar>
            <w:vAlign w:val="center"/>
          </w:tcPr>
          <w:p w14:paraId="0D704F13" w14:textId="77777777" w:rsidR="00C46B76" w:rsidRDefault="00C46B76" w:rsidP="00104063">
            <w:pPr>
              <w:pStyle w:val="MdTableCell"/>
              <w:jc w:val="both"/>
            </w:pPr>
            <w:r>
              <w:t>259,657.30</w:t>
            </w:r>
          </w:p>
        </w:tc>
      </w:tr>
      <w:tr w:rsidR="00C46B76" w14:paraId="14ED9588" w14:textId="77777777" w:rsidTr="00D2199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258BEF1D" w14:textId="77777777" w:rsidR="00C46B76" w:rsidRDefault="00C46B76" w:rsidP="00104063">
            <w:pPr>
              <w:pStyle w:val="MdTableCell"/>
              <w:jc w:val="both"/>
            </w:pPr>
            <w:r>
              <w:t>17450.0</w:t>
            </w:r>
          </w:p>
        </w:tc>
        <w:tc>
          <w:tcPr>
            <w:tcW w:w="0" w:type="auto"/>
            <w:tcMar>
              <w:top w:w="80" w:type="dxa"/>
              <w:left w:w="120" w:type="dxa"/>
              <w:bottom w:w="80" w:type="dxa"/>
              <w:right w:w="120" w:type="dxa"/>
            </w:tcMar>
            <w:vAlign w:val="center"/>
          </w:tcPr>
          <w:p w14:paraId="0460E994" w14:textId="77777777" w:rsidR="00C46B76" w:rsidRDefault="00C46B76" w:rsidP="00104063">
            <w:pPr>
              <w:pStyle w:val="MdTableCell"/>
              <w:jc w:val="both"/>
            </w:pPr>
            <w:r>
              <w:t>194,390.79</w:t>
            </w:r>
          </w:p>
        </w:tc>
      </w:tr>
      <w:tr w:rsidR="00C46B76" w14:paraId="7D9B343F" w14:textId="77777777" w:rsidTr="00D2199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798E2FCF" w14:textId="77777777" w:rsidR="00C46B76" w:rsidRDefault="00C46B76" w:rsidP="00104063">
            <w:pPr>
              <w:pStyle w:val="MdTableCell"/>
              <w:jc w:val="both"/>
            </w:pPr>
            <w:r>
              <w:t>16446.0</w:t>
            </w:r>
          </w:p>
        </w:tc>
        <w:tc>
          <w:tcPr>
            <w:tcW w:w="0" w:type="auto"/>
            <w:tcMar>
              <w:top w:w="80" w:type="dxa"/>
              <w:left w:w="120" w:type="dxa"/>
              <w:bottom w:w="80" w:type="dxa"/>
              <w:right w:w="120" w:type="dxa"/>
            </w:tcMar>
            <w:vAlign w:val="center"/>
          </w:tcPr>
          <w:p w14:paraId="5ECD1B3F" w14:textId="77777777" w:rsidR="00C46B76" w:rsidRDefault="00C46B76" w:rsidP="00104063">
            <w:pPr>
              <w:pStyle w:val="MdTableCell"/>
              <w:jc w:val="both"/>
            </w:pPr>
            <w:r>
              <w:t>168,472.50</w:t>
            </w:r>
          </w:p>
        </w:tc>
      </w:tr>
      <w:tr w:rsidR="00C46B76" w14:paraId="7222F402" w14:textId="77777777" w:rsidTr="00D2199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46305876" w14:textId="77777777" w:rsidR="00C46B76" w:rsidRDefault="00C46B76" w:rsidP="00104063">
            <w:pPr>
              <w:pStyle w:val="MdTableCell"/>
              <w:jc w:val="both"/>
            </w:pPr>
            <w:r>
              <w:t>14911.0</w:t>
            </w:r>
          </w:p>
        </w:tc>
        <w:tc>
          <w:tcPr>
            <w:tcW w:w="0" w:type="auto"/>
            <w:tcMar>
              <w:top w:w="80" w:type="dxa"/>
              <w:left w:w="120" w:type="dxa"/>
              <w:bottom w:w="80" w:type="dxa"/>
              <w:right w:w="120" w:type="dxa"/>
            </w:tcMar>
            <w:vAlign w:val="center"/>
          </w:tcPr>
          <w:p w14:paraId="47BE7F35" w14:textId="77777777" w:rsidR="00C46B76" w:rsidRDefault="00C46B76" w:rsidP="00104063">
            <w:pPr>
              <w:pStyle w:val="MdTableCell"/>
              <w:jc w:val="both"/>
            </w:pPr>
            <w:r>
              <w:t>143,711.17</w:t>
            </w:r>
          </w:p>
        </w:tc>
      </w:tr>
      <w:tr w:rsidR="00C46B76" w14:paraId="3D3641F5" w14:textId="77777777" w:rsidTr="00D2199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41F7F62D" w14:textId="77777777" w:rsidR="00C46B76" w:rsidRDefault="00C46B76" w:rsidP="00104063">
            <w:pPr>
              <w:pStyle w:val="MdTableCell"/>
              <w:jc w:val="both"/>
            </w:pPr>
            <w:r>
              <w:t>12415.0</w:t>
            </w:r>
          </w:p>
        </w:tc>
        <w:tc>
          <w:tcPr>
            <w:tcW w:w="0" w:type="auto"/>
            <w:tcMar>
              <w:top w:w="80" w:type="dxa"/>
              <w:left w:w="120" w:type="dxa"/>
              <w:bottom w:w="80" w:type="dxa"/>
              <w:right w:w="120" w:type="dxa"/>
            </w:tcMar>
            <w:vAlign w:val="center"/>
          </w:tcPr>
          <w:p w14:paraId="60ABE327" w14:textId="77777777" w:rsidR="00C46B76" w:rsidRDefault="00C46B76" w:rsidP="00104063">
            <w:pPr>
              <w:pStyle w:val="MdTableCell"/>
              <w:jc w:val="both"/>
            </w:pPr>
            <w:r>
              <w:t>124,914.53</w:t>
            </w:r>
          </w:p>
        </w:tc>
      </w:tr>
      <w:tr w:rsidR="00C46B76" w14:paraId="072FEC2A" w14:textId="77777777" w:rsidTr="00D2199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658D3855" w14:textId="77777777" w:rsidR="00C46B76" w:rsidRDefault="00C46B76" w:rsidP="00104063">
            <w:pPr>
              <w:pStyle w:val="MdTableCell"/>
              <w:jc w:val="both"/>
            </w:pPr>
            <w:r>
              <w:t>14156.0</w:t>
            </w:r>
          </w:p>
        </w:tc>
        <w:tc>
          <w:tcPr>
            <w:tcW w:w="0" w:type="auto"/>
            <w:tcMar>
              <w:top w:w="80" w:type="dxa"/>
              <w:left w:w="120" w:type="dxa"/>
              <w:bottom w:w="80" w:type="dxa"/>
              <w:right w:w="120" w:type="dxa"/>
            </w:tcMar>
            <w:vAlign w:val="center"/>
          </w:tcPr>
          <w:p w14:paraId="75B6F708" w14:textId="77777777" w:rsidR="00C46B76" w:rsidRDefault="00C46B76" w:rsidP="00104063">
            <w:pPr>
              <w:pStyle w:val="MdTableCell"/>
              <w:jc w:val="both"/>
            </w:pPr>
            <w:r>
              <w:t>117,210.08</w:t>
            </w:r>
          </w:p>
        </w:tc>
      </w:tr>
      <w:tr w:rsidR="00C46B76" w14:paraId="15BD06C5" w14:textId="77777777" w:rsidTr="00D2199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5483BD48" w14:textId="77777777" w:rsidR="00C46B76" w:rsidRDefault="00C46B76" w:rsidP="00104063">
            <w:pPr>
              <w:pStyle w:val="MdTableCell"/>
              <w:jc w:val="both"/>
            </w:pPr>
            <w:r>
              <w:t>17511.0</w:t>
            </w:r>
          </w:p>
        </w:tc>
        <w:tc>
          <w:tcPr>
            <w:tcW w:w="0" w:type="auto"/>
            <w:tcMar>
              <w:top w:w="80" w:type="dxa"/>
              <w:left w:w="120" w:type="dxa"/>
              <w:bottom w:w="80" w:type="dxa"/>
              <w:right w:w="120" w:type="dxa"/>
            </w:tcMar>
            <w:vAlign w:val="center"/>
          </w:tcPr>
          <w:p w14:paraId="5D014B92" w14:textId="77777777" w:rsidR="00C46B76" w:rsidRDefault="00C46B76" w:rsidP="00104063">
            <w:pPr>
              <w:pStyle w:val="MdTableCell"/>
              <w:jc w:val="both"/>
            </w:pPr>
            <w:r>
              <w:t>91,062.38</w:t>
            </w:r>
          </w:p>
        </w:tc>
      </w:tr>
      <w:tr w:rsidR="00C46B76" w14:paraId="1DCEC7DF" w14:textId="77777777" w:rsidTr="00D2199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0FB9682B" w14:textId="77777777" w:rsidR="00C46B76" w:rsidRDefault="00C46B76" w:rsidP="00104063">
            <w:pPr>
              <w:pStyle w:val="MdTableCell"/>
              <w:jc w:val="both"/>
            </w:pPr>
            <w:r>
              <w:t>16029.0</w:t>
            </w:r>
          </w:p>
        </w:tc>
        <w:tc>
          <w:tcPr>
            <w:tcW w:w="0" w:type="auto"/>
            <w:tcMar>
              <w:top w:w="80" w:type="dxa"/>
              <w:left w:w="120" w:type="dxa"/>
              <w:bottom w:w="80" w:type="dxa"/>
              <w:right w:w="120" w:type="dxa"/>
            </w:tcMar>
            <w:vAlign w:val="center"/>
          </w:tcPr>
          <w:p w14:paraId="56DE00BA" w14:textId="77777777" w:rsidR="00C46B76" w:rsidRDefault="00C46B76" w:rsidP="00104063">
            <w:pPr>
              <w:pStyle w:val="MdTableCell"/>
              <w:jc w:val="both"/>
            </w:pPr>
            <w:r>
              <w:t>80,850.84</w:t>
            </w:r>
          </w:p>
        </w:tc>
      </w:tr>
      <w:tr w:rsidR="00C46B76" w14:paraId="262459C9" w14:textId="77777777" w:rsidTr="00D21991">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20D689DC" w14:textId="77777777" w:rsidR="00C46B76" w:rsidRDefault="00C46B76" w:rsidP="00104063">
            <w:pPr>
              <w:pStyle w:val="MdTableCell"/>
              <w:jc w:val="both"/>
            </w:pPr>
            <w:r>
              <w:t>12346.0</w:t>
            </w:r>
          </w:p>
        </w:tc>
        <w:tc>
          <w:tcPr>
            <w:tcW w:w="0" w:type="auto"/>
            <w:tcMar>
              <w:top w:w="80" w:type="dxa"/>
              <w:left w:w="120" w:type="dxa"/>
              <w:bottom w:w="80" w:type="dxa"/>
              <w:right w:w="120" w:type="dxa"/>
            </w:tcMar>
            <w:vAlign w:val="center"/>
          </w:tcPr>
          <w:p w14:paraId="61737A36" w14:textId="77777777" w:rsidR="00C46B76" w:rsidRDefault="00C46B76" w:rsidP="00104063">
            <w:pPr>
              <w:pStyle w:val="MdTableCell"/>
              <w:jc w:val="both"/>
            </w:pPr>
            <w:r>
              <w:t>77,183.60</w:t>
            </w:r>
          </w:p>
        </w:tc>
      </w:tr>
    </w:tbl>
    <w:p w14:paraId="5DA5BCE0" w14:textId="77777777" w:rsidR="00C46B76" w:rsidRDefault="00C46B76" w:rsidP="00104063">
      <w:pPr>
        <w:pStyle w:val="MdParagraph"/>
        <w:jc w:val="both"/>
        <w:rPr>
          <w:rStyle w:val="MdStrong"/>
        </w:rPr>
      </w:pPr>
    </w:p>
    <w:p w14:paraId="23AE4C2D" w14:textId="77777777" w:rsidR="00C46B76" w:rsidRDefault="00C46B76" w:rsidP="00104063">
      <w:pPr>
        <w:pStyle w:val="MdParagraph"/>
        <w:jc w:val="both"/>
        <w:rPr>
          <w:rStyle w:val="MdStrong"/>
        </w:rPr>
      </w:pPr>
    </w:p>
    <w:p w14:paraId="3B065D2B" w14:textId="77777777" w:rsidR="00C46B76" w:rsidRDefault="00C46B76" w:rsidP="00104063">
      <w:pPr>
        <w:pStyle w:val="MdParagraph"/>
        <w:jc w:val="both"/>
        <w:rPr>
          <w:rStyle w:val="MdStrong"/>
        </w:rPr>
      </w:pPr>
    </w:p>
    <w:p w14:paraId="0AA01287" w14:textId="77777777" w:rsidR="00C46B76" w:rsidRDefault="00C46B76" w:rsidP="00104063">
      <w:pPr>
        <w:pStyle w:val="MdParagraph"/>
        <w:jc w:val="both"/>
        <w:rPr>
          <w:rStyle w:val="MdStrong"/>
        </w:rPr>
      </w:pPr>
    </w:p>
    <w:p w14:paraId="4E7FBFAD" w14:textId="77777777" w:rsidR="00C46B76" w:rsidRDefault="00C46B76" w:rsidP="00104063">
      <w:pPr>
        <w:pStyle w:val="MdParagraph"/>
        <w:jc w:val="both"/>
      </w:pPr>
    </w:p>
    <w:p w14:paraId="717DDD08" w14:textId="77777777" w:rsidR="00BC1521" w:rsidRDefault="00BC1521" w:rsidP="00104063">
      <w:pPr>
        <w:pStyle w:val="MdSpace"/>
        <w:spacing w:after="60"/>
        <w:jc w:val="both"/>
      </w:pPr>
    </w:p>
    <w:p w14:paraId="5D7D4AA3" w14:textId="7FB421F5" w:rsidR="00BC1521" w:rsidRPr="00F4745F" w:rsidRDefault="00000000" w:rsidP="00104063">
      <w:pPr>
        <w:pStyle w:val="MdHeading3"/>
        <w:jc w:val="both"/>
      </w:pPr>
      <w:r w:rsidRPr="00F4745F">
        <w:lastRenderedPageBreak/>
        <w:t>3.5 Customer Segmentation (RFM Analysis)</w:t>
      </w:r>
    </w:p>
    <w:p w14:paraId="2AA5466D" w14:textId="1D064A18" w:rsidR="00BC1521" w:rsidRDefault="00000000" w:rsidP="00104063">
      <w:pPr>
        <w:pStyle w:val="MdParagraph"/>
        <w:jc w:val="both"/>
      </w:pPr>
      <w:r>
        <w:t>To better understand and target customer groups, an RFM (Recency, Frequency, Monetary) analysis was performed. This method segments customers based on how recently they made a purchase, how often they purchase, and how much they spend. The customers were categorized into five distinct segments:</w:t>
      </w:r>
      <w:r w:rsidR="0065729F">
        <w:br/>
      </w:r>
    </w:p>
    <w:p w14:paraId="218B9D10" w14:textId="77777777" w:rsidR="00BC1521" w:rsidRDefault="00BC1521" w:rsidP="00104063">
      <w:pPr>
        <w:pStyle w:val="MdSpace"/>
        <w:spacing w:after="60"/>
        <w:jc w:val="both"/>
      </w:pPr>
    </w:p>
    <w:p w14:paraId="04154403" w14:textId="77777777" w:rsidR="00BC1521" w:rsidRDefault="00000000" w:rsidP="00104063">
      <w:pPr>
        <w:pStyle w:val="MdListItem"/>
        <w:numPr>
          <w:ilvl w:val="0"/>
          <w:numId w:val="2"/>
        </w:numPr>
        <w:spacing w:line="276" w:lineRule="auto"/>
        <w:jc w:val="both"/>
      </w:pPr>
      <w:r>
        <w:rPr>
          <w:rStyle w:val="MdStrong"/>
        </w:rPr>
        <w:t>VIPs</w:t>
      </w:r>
      <w:r>
        <w:t>: Customers with high recency, frequency, and monetary values.</w:t>
      </w:r>
    </w:p>
    <w:p w14:paraId="3EDEC85C" w14:textId="77777777" w:rsidR="00BC1521" w:rsidRDefault="00000000" w:rsidP="00104063">
      <w:pPr>
        <w:pStyle w:val="MdListItem"/>
        <w:numPr>
          <w:ilvl w:val="0"/>
          <w:numId w:val="2"/>
        </w:numPr>
        <w:spacing w:line="276" w:lineRule="auto"/>
        <w:jc w:val="both"/>
      </w:pPr>
      <w:r>
        <w:rPr>
          <w:rStyle w:val="MdStrong"/>
        </w:rPr>
        <w:t>Loyal</w:t>
      </w:r>
      <w:r>
        <w:t>: Regular customers with good frequency and monetary values.</w:t>
      </w:r>
    </w:p>
    <w:p w14:paraId="03B93DC7" w14:textId="77777777" w:rsidR="00BC1521" w:rsidRDefault="00000000" w:rsidP="00104063">
      <w:pPr>
        <w:pStyle w:val="MdListItem"/>
        <w:numPr>
          <w:ilvl w:val="0"/>
          <w:numId w:val="2"/>
        </w:numPr>
        <w:spacing w:line="276" w:lineRule="auto"/>
        <w:jc w:val="both"/>
      </w:pPr>
      <w:r>
        <w:rPr>
          <w:rStyle w:val="MdStrong"/>
        </w:rPr>
        <w:t>Potential</w:t>
      </w:r>
      <w:r>
        <w:t>: Customers who have made recent purchases but may not have high frequency or monetary value yet.</w:t>
      </w:r>
    </w:p>
    <w:p w14:paraId="7483B24A" w14:textId="77777777" w:rsidR="00BC1521" w:rsidRDefault="00000000" w:rsidP="00104063">
      <w:pPr>
        <w:pStyle w:val="MdListItem"/>
        <w:numPr>
          <w:ilvl w:val="0"/>
          <w:numId w:val="2"/>
        </w:numPr>
        <w:spacing w:line="276" w:lineRule="auto"/>
        <w:jc w:val="both"/>
      </w:pPr>
      <w:r>
        <w:rPr>
          <w:rStyle w:val="MdStrong"/>
        </w:rPr>
        <w:t>At Risk</w:t>
      </w:r>
      <w:r>
        <w:t>: Customers whose purchasing activity has declined.</w:t>
      </w:r>
    </w:p>
    <w:p w14:paraId="7B5BA728" w14:textId="77777777" w:rsidR="00BC1521" w:rsidRDefault="00000000" w:rsidP="00104063">
      <w:pPr>
        <w:pStyle w:val="MdListItem"/>
        <w:numPr>
          <w:ilvl w:val="0"/>
          <w:numId w:val="2"/>
        </w:numPr>
        <w:spacing w:line="276" w:lineRule="auto"/>
        <w:jc w:val="both"/>
      </w:pPr>
      <w:r>
        <w:rPr>
          <w:rStyle w:val="MdStrong"/>
        </w:rPr>
        <w:t>Lost</w:t>
      </w:r>
      <w:r>
        <w:t>: Customers who have not made purchases for a significant period.</w:t>
      </w:r>
    </w:p>
    <w:p w14:paraId="0628A77D" w14:textId="77777777" w:rsidR="00BC1521" w:rsidRDefault="00BC1521" w:rsidP="00104063">
      <w:pPr>
        <w:pStyle w:val="MdSpace"/>
        <w:spacing w:after="60"/>
        <w:jc w:val="both"/>
      </w:pPr>
    </w:p>
    <w:p w14:paraId="1DAC3AD5" w14:textId="7359AF5A" w:rsidR="0065729F" w:rsidRDefault="00000000" w:rsidP="00104063">
      <w:pPr>
        <w:pStyle w:val="MdHeading4"/>
        <w:jc w:val="both"/>
      </w:pPr>
      <w:r>
        <w:rPr>
          <w:rStyle w:val="MdStrong"/>
          <w:b/>
          <w:bCs/>
        </w:rPr>
        <w:t>Customer Segment Distribution and Average Monetary Value:</w:t>
      </w:r>
    </w:p>
    <w:p w14:paraId="141814A3" w14:textId="77777777" w:rsidR="00BC1521" w:rsidRDefault="00BC1521" w:rsidP="00104063">
      <w:pPr>
        <w:pStyle w:val="MdSpace"/>
        <w:spacing w:after="6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99"/>
        <w:gridCol w:w="3335"/>
        <w:gridCol w:w="4182"/>
      </w:tblGrid>
      <w:tr w:rsidR="00BC1521" w14:paraId="2A5DD9B2" w14:textId="77777777" w:rsidTr="0065729F">
        <w:tblPrEx>
          <w:tblCellMar>
            <w:top w:w="0" w:type="dxa"/>
            <w:bottom w:w="0" w:type="dxa"/>
          </w:tblCellMar>
        </w:tblPrEx>
        <w:trPr>
          <w:cantSplit/>
          <w:trHeight w:val="720"/>
          <w:tblHeader/>
        </w:trPr>
        <w:tc>
          <w:tcPr>
            <w:tcW w:w="0" w:type="auto"/>
            <w:tcMar>
              <w:top w:w="100" w:type="dxa"/>
              <w:left w:w="120" w:type="dxa"/>
              <w:bottom w:w="100" w:type="dxa"/>
              <w:right w:w="120" w:type="dxa"/>
            </w:tcMar>
            <w:vAlign w:val="center"/>
          </w:tcPr>
          <w:p w14:paraId="7ADC7014" w14:textId="77777777" w:rsidR="00BC1521" w:rsidRDefault="00000000" w:rsidP="00104063">
            <w:pPr>
              <w:pStyle w:val="MdTableHeader"/>
              <w:jc w:val="both"/>
            </w:pPr>
            <w:r>
              <w:t>Segment</w:t>
            </w:r>
          </w:p>
        </w:tc>
        <w:tc>
          <w:tcPr>
            <w:tcW w:w="0" w:type="auto"/>
            <w:tcMar>
              <w:top w:w="100" w:type="dxa"/>
              <w:left w:w="120" w:type="dxa"/>
              <w:bottom w:w="100" w:type="dxa"/>
              <w:right w:w="120" w:type="dxa"/>
            </w:tcMar>
            <w:vAlign w:val="center"/>
          </w:tcPr>
          <w:p w14:paraId="75C49850" w14:textId="77777777" w:rsidR="00BC1521" w:rsidRDefault="00000000" w:rsidP="00104063">
            <w:pPr>
              <w:pStyle w:val="MdTableHeader"/>
              <w:jc w:val="both"/>
            </w:pPr>
            <w:r>
              <w:t>Number of Customers</w:t>
            </w:r>
          </w:p>
        </w:tc>
        <w:tc>
          <w:tcPr>
            <w:tcW w:w="0" w:type="auto"/>
            <w:tcMar>
              <w:top w:w="100" w:type="dxa"/>
              <w:left w:w="120" w:type="dxa"/>
              <w:bottom w:w="100" w:type="dxa"/>
              <w:right w:w="120" w:type="dxa"/>
            </w:tcMar>
            <w:vAlign w:val="center"/>
          </w:tcPr>
          <w:p w14:paraId="12142861" w14:textId="77777777" w:rsidR="00BC1521" w:rsidRDefault="00000000" w:rsidP="00104063">
            <w:pPr>
              <w:pStyle w:val="MdTableHeader"/>
              <w:jc w:val="both"/>
            </w:pPr>
            <w:r>
              <w:t>Average Monetary Value (£)</w:t>
            </w:r>
          </w:p>
        </w:tc>
      </w:tr>
      <w:tr w:rsidR="00BC1521" w14:paraId="4B55F84A" w14:textId="77777777" w:rsidTr="0065729F">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6D754DF0" w14:textId="77777777" w:rsidR="00BC1521" w:rsidRDefault="00000000" w:rsidP="00104063">
            <w:pPr>
              <w:pStyle w:val="MdTableCell"/>
              <w:jc w:val="both"/>
            </w:pPr>
            <w:r>
              <w:t>VIP</w:t>
            </w:r>
          </w:p>
        </w:tc>
        <w:tc>
          <w:tcPr>
            <w:tcW w:w="0" w:type="auto"/>
            <w:tcMar>
              <w:top w:w="80" w:type="dxa"/>
              <w:left w:w="120" w:type="dxa"/>
              <w:bottom w:w="80" w:type="dxa"/>
              <w:right w:w="120" w:type="dxa"/>
            </w:tcMar>
            <w:vAlign w:val="center"/>
          </w:tcPr>
          <w:p w14:paraId="483BECF1" w14:textId="77777777" w:rsidR="00BC1521" w:rsidRDefault="00000000" w:rsidP="00104063">
            <w:pPr>
              <w:pStyle w:val="MdTableCell"/>
              <w:jc w:val="both"/>
            </w:pPr>
            <w:r>
              <w:t>933</w:t>
            </w:r>
          </w:p>
        </w:tc>
        <w:tc>
          <w:tcPr>
            <w:tcW w:w="0" w:type="auto"/>
            <w:tcMar>
              <w:top w:w="80" w:type="dxa"/>
              <w:left w:w="120" w:type="dxa"/>
              <w:bottom w:w="80" w:type="dxa"/>
              <w:right w:w="120" w:type="dxa"/>
            </w:tcMar>
            <w:vAlign w:val="center"/>
          </w:tcPr>
          <w:p w14:paraId="3DFDC406" w14:textId="77777777" w:rsidR="00BC1521" w:rsidRDefault="00000000" w:rsidP="00104063">
            <w:pPr>
              <w:pStyle w:val="MdTableCell"/>
              <w:jc w:val="both"/>
            </w:pPr>
            <w:r>
              <w:t>6,689.76</w:t>
            </w:r>
          </w:p>
        </w:tc>
      </w:tr>
      <w:tr w:rsidR="00BC1521" w14:paraId="2B9E7DD0" w14:textId="77777777" w:rsidTr="0065729F">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3C230E1E" w14:textId="77777777" w:rsidR="00BC1521" w:rsidRDefault="00000000" w:rsidP="00104063">
            <w:pPr>
              <w:pStyle w:val="MdTableCell"/>
              <w:jc w:val="both"/>
            </w:pPr>
            <w:r>
              <w:t>Loyal</w:t>
            </w:r>
          </w:p>
        </w:tc>
        <w:tc>
          <w:tcPr>
            <w:tcW w:w="0" w:type="auto"/>
            <w:tcMar>
              <w:top w:w="80" w:type="dxa"/>
              <w:left w:w="120" w:type="dxa"/>
              <w:bottom w:w="80" w:type="dxa"/>
              <w:right w:w="120" w:type="dxa"/>
            </w:tcMar>
            <w:vAlign w:val="center"/>
          </w:tcPr>
          <w:p w14:paraId="27E16992" w14:textId="77777777" w:rsidR="00BC1521" w:rsidRDefault="00000000" w:rsidP="00104063">
            <w:pPr>
              <w:pStyle w:val="MdTableCell"/>
              <w:jc w:val="both"/>
            </w:pPr>
            <w:r>
              <w:t>1,010</w:t>
            </w:r>
          </w:p>
        </w:tc>
        <w:tc>
          <w:tcPr>
            <w:tcW w:w="0" w:type="auto"/>
            <w:tcMar>
              <w:top w:w="80" w:type="dxa"/>
              <w:left w:w="120" w:type="dxa"/>
              <w:bottom w:w="80" w:type="dxa"/>
              <w:right w:w="120" w:type="dxa"/>
            </w:tcMar>
            <w:vAlign w:val="center"/>
          </w:tcPr>
          <w:p w14:paraId="0D9BC342" w14:textId="77777777" w:rsidR="00BC1521" w:rsidRDefault="00000000" w:rsidP="00104063">
            <w:pPr>
              <w:pStyle w:val="MdTableCell"/>
              <w:jc w:val="both"/>
            </w:pPr>
            <w:r>
              <w:t>1,389.11</w:t>
            </w:r>
          </w:p>
        </w:tc>
      </w:tr>
      <w:tr w:rsidR="00BC1521" w14:paraId="326F5DCA" w14:textId="77777777" w:rsidTr="0065729F">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7A4D6F4C" w14:textId="77777777" w:rsidR="00BC1521" w:rsidRDefault="00000000" w:rsidP="00104063">
            <w:pPr>
              <w:pStyle w:val="MdTableCell"/>
              <w:jc w:val="both"/>
            </w:pPr>
            <w:r>
              <w:t>Potential</w:t>
            </w:r>
          </w:p>
        </w:tc>
        <w:tc>
          <w:tcPr>
            <w:tcW w:w="0" w:type="auto"/>
            <w:tcMar>
              <w:top w:w="80" w:type="dxa"/>
              <w:left w:w="120" w:type="dxa"/>
              <w:bottom w:w="80" w:type="dxa"/>
              <w:right w:w="120" w:type="dxa"/>
            </w:tcMar>
            <w:vAlign w:val="center"/>
          </w:tcPr>
          <w:p w14:paraId="07B3B58B" w14:textId="77777777" w:rsidR="00BC1521" w:rsidRDefault="00000000" w:rsidP="00104063">
            <w:pPr>
              <w:pStyle w:val="MdTableCell"/>
              <w:jc w:val="both"/>
            </w:pPr>
            <w:r>
              <w:t>1,088</w:t>
            </w:r>
          </w:p>
        </w:tc>
        <w:tc>
          <w:tcPr>
            <w:tcW w:w="0" w:type="auto"/>
            <w:tcMar>
              <w:top w:w="80" w:type="dxa"/>
              <w:left w:w="120" w:type="dxa"/>
              <w:bottom w:w="80" w:type="dxa"/>
              <w:right w:w="120" w:type="dxa"/>
            </w:tcMar>
            <w:vAlign w:val="center"/>
          </w:tcPr>
          <w:p w14:paraId="14483D96" w14:textId="77777777" w:rsidR="00BC1521" w:rsidRDefault="00000000" w:rsidP="00104063">
            <w:pPr>
              <w:pStyle w:val="MdTableCell"/>
              <w:jc w:val="both"/>
            </w:pPr>
            <w:r>
              <w:t>807.02</w:t>
            </w:r>
          </w:p>
        </w:tc>
      </w:tr>
      <w:tr w:rsidR="00BC1521" w14:paraId="0F64A5C0" w14:textId="77777777" w:rsidTr="0065729F">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756DCDFE" w14:textId="77777777" w:rsidR="00BC1521" w:rsidRDefault="00000000" w:rsidP="00104063">
            <w:pPr>
              <w:pStyle w:val="MdTableCell"/>
              <w:jc w:val="both"/>
            </w:pPr>
            <w:r>
              <w:t>At Risk</w:t>
            </w:r>
          </w:p>
        </w:tc>
        <w:tc>
          <w:tcPr>
            <w:tcW w:w="0" w:type="auto"/>
            <w:tcMar>
              <w:top w:w="80" w:type="dxa"/>
              <w:left w:w="120" w:type="dxa"/>
              <w:bottom w:w="80" w:type="dxa"/>
              <w:right w:w="120" w:type="dxa"/>
            </w:tcMar>
            <w:vAlign w:val="center"/>
          </w:tcPr>
          <w:p w14:paraId="108491A5" w14:textId="77777777" w:rsidR="00BC1521" w:rsidRDefault="00000000" w:rsidP="00104063">
            <w:pPr>
              <w:pStyle w:val="MdTableCell"/>
              <w:jc w:val="both"/>
            </w:pPr>
            <w:r>
              <w:t>1,124</w:t>
            </w:r>
          </w:p>
        </w:tc>
        <w:tc>
          <w:tcPr>
            <w:tcW w:w="0" w:type="auto"/>
            <w:tcMar>
              <w:top w:w="80" w:type="dxa"/>
              <w:left w:w="120" w:type="dxa"/>
              <w:bottom w:w="80" w:type="dxa"/>
              <w:right w:w="120" w:type="dxa"/>
            </w:tcMar>
            <w:vAlign w:val="center"/>
          </w:tcPr>
          <w:p w14:paraId="48D430E5" w14:textId="77777777" w:rsidR="00BC1521" w:rsidRDefault="00000000" w:rsidP="00104063">
            <w:pPr>
              <w:pStyle w:val="MdTableCell"/>
              <w:jc w:val="both"/>
            </w:pPr>
            <w:r>
              <w:t>300.90</w:t>
            </w:r>
          </w:p>
        </w:tc>
      </w:tr>
      <w:tr w:rsidR="00BC1521" w14:paraId="04AF6600" w14:textId="77777777" w:rsidTr="0065729F">
        <w:tblPrEx>
          <w:tblCellMar>
            <w:top w:w="0" w:type="dxa"/>
            <w:bottom w:w="0" w:type="dxa"/>
          </w:tblCellMar>
        </w:tblPrEx>
        <w:trPr>
          <w:cantSplit/>
          <w:trHeight w:val="576"/>
        </w:trPr>
        <w:tc>
          <w:tcPr>
            <w:tcW w:w="0" w:type="auto"/>
            <w:tcMar>
              <w:top w:w="80" w:type="dxa"/>
              <w:left w:w="120" w:type="dxa"/>
              <w:bottom w:w="80" w:type="dxa"/>
              <w:right w:w="120" w:type="dxa"/>
            </w:tcMar>
            <w:vAlign w:val="center"/>
          </w:tcPr>
          <w:p w14:paraId="23376116" w14:textId="77777777" w:rsidR="00BC1521" w:rsidRDefault="00000000" w:rsidP="00104063">
            <w:pPr>
              <w:pStyle w:val="MdTableCell"/>
              <w:jc w:val="both"/>
            </w:pPr>
            <w:r>
              <w:t>Lost</w:t>
            </w:r>
          </w:p>
        </w:tc>
        <w:tc>
          <w:tcPr>
            <w:tcW w:w="0" w:type="auto"/>
            <w:tcMar>
              <w:top w:w="80" w:type="dxa"/>
              <w:left w:w="120" w:type="dxa"/>
              <w:bottom w:w="80" w:type="dxa"/>
              <w:right w:w="120" w:type="dxa"/>
            </w:tcMar>
            <w:vAlign w:val="center"/>
          </w:tcPr>
          <w:p w14:paraId="1E945486" w14:textId="77777777" w:rsidR="00BC1521" w:rsidRDefault="00000000" w:rsidP="00104063">
            <w:pPr>
              <w:pStyle w:val="MdTableCell"/>
              <w:jc w:val="both"/>
            </w:pPr>
            <w:r>
              <w:t>183</w:t>
            </w:r>
          </w:p>
        </w:tc>
        <w:tc>
          <w:tcPr>
            <w:tcW w:w="0" w:type="auto"/>
            <w:tcMar>
              <w:top w:w="80" w:type="dxa"/>
              <w:left w:w="120" w:type="dxa"/>
              <w:bottom w:w="80" w:type="dxa"/>
              <w:right w:w="120" w:type="dxa"/>
            </w:tcMar>
            <w:vAlign w:val="center"/>
          </w:tcPr>
          <w:p w14:paraId="3B7B4FC1" w14:textId="77777777" w:rsidR="00BC1521" w:rsidRDefault="00000000" w:rsidP="00104063">
            <w:pPr>
              <w:pStyle w:val="MdTableCell"/>
              <w:jc w:val="both"/>
            </w:pPr>
            <w:r>
              <w:t>144.31</w:t>
            </w:r>
          </w:p>
        </w:tc>
      </w:tr>
    </w:tbl>
    <w:p w14:paraId="3BB6D229" w14:textId="77777777" w:rsidR="0065729F" w:rsidRDefault="0065729F" w:rsidP="00104063">
      <w:pPr>
        <w:pStyle w:val="MdParagraph"/>
        <w:jc w:val="both"/>
      </w:pPr>
    </w:p>
    <w:p w14:paraId="57E8BB08" w14:textId="52A915D1" w:rsidR="00BC1521" w:rsidRDefault="00000000" w:rsidP="00104063">
      <w:pPr>
        <w:pStyle w:val="MdParagraph"/>
        <w:jc w:val="both"/>
      </w:pPr>
      <w:r>
        <w:t>This segmentation provides a clear framework for developing tailored engagement strategies for each group.</w:t>
      </w:r>
    </w:p>
    <w:p w14:paraId="636CFEDC" w14:textId="77777777" w:rsidR="0065729F" w:rsidRDefault="0065729F" w:rsidP="00104063">
      <w:pPr>
        <w:pStyle w:val="MdParagraph"/>
        <w:jc w:val="both"/>
      </w:pPr>
    </w:p>
    <w:p w14:paraId="54022D96" w14:textId="77777777" w:rsidR="0065729F" w:rsidRDefault="0065729F" w:rsidP="00104063">
      <w:pPr>
        <w:pStyle w:val="MdParagraph"/>
        <w:jc w:val="both"/>
      </w:pPr>
    </w:p>
    <w:p w14:paraId="59FEFFEB" w14:textId="77777777" w:rsidR="0065729F" w:rsidRDefault="0065729F" w:rsidP="00104063">
      <w:pPr>
        <w:pStyle w:val="MdParagraph"/>
        <w:jc w:val="both"/>
      </w:pPr>
    </w:p>
    <w:p w14:paraId="165C021E" w14:textId="77777777" w:rsidR="00BC1521" w:rsidRDefault="00BC1521" w:rsidP="00104063">
      <w:pPr>
        <w:pStyle w:val="MdSpace"/>
        <w:spacing w:after="60"/>
        <w:jc w:val="both"/>
      </w:pPr>
    </w:p>
    <w:p w14:paraId="62C9F510" w14:textId="51F21124" w:rsidR="00BC1521" w:rsidRPr="00F4745F" w:rsidRDefault="00000000" w:rsidP="00104063">
      <w:pPr>
        <w:pStyle w:val="MdHeading2"/>
        <w:jc w:val="both"/>
      </w:pPr>
      <w:r w:rsidRPr="00F4745F">
        <w:lastRenderedPageBreak/>
        <w:t>4. Business Recommendations</w:t>
      </w:r>
    </w:p>
    <w:p w14:paraId="78CB618B" w14:textId="77777777" w:rsidR="00BC1521" w:rsidRDefault="00000000" w:rsidP="00104063">
      <w:pPr>
        <w:pStyle w:val="MdParagraph"/>
        <w:jc w:val="both"/>
      </w:pPr>
      <w:r>
        <w:t>Based on the comprehensive data analysis, the following strategic recommendations are proposed:</w:t>
      </w:r>
    </w:p>
    <w:p w14:paraId="2D69FF91" w14:textId="77777777" w:rsidR="00BC1521" w:rsidRDefault="00BC1521" w:rsidP="00104063">
      <w:pPr>
        <w:pStyle w:val="MdSpace"/>
        <w:spacing w:after="60"/>
        <w:jc w:val="both"/>
      </w:pPr>
    </w:p>
    <w:p w14:paraId="567E3112" w14:textId="77777777" w:rsidR="00BC1521" w:rsidRDefault="00000000" w:rsidP="00104063">
      <w:pPr>
        <w:pStyle w:val="MdListItem"/>
        <w:numPr>
          <w:ilvl w:val="0"/>
          <w:numId w:val="3"/>
        </w:numPr>
        <w:jc w:val="both"/>
      </w:pPr>
      <w:r>
        <w:rPr>
          <w:rStyle w:val="MdStrong"/>
        </w:rPr>
        <w:t>Product Strategy</w:t>
      </w:r>
      <w:r>
        <w:t xml:space="preserve">: Prioritize securing consistent stock levels for "hero products" (e.g., Paper Craft, Regency </w:t>
      </w:r>
      <w:proofErr w:type="spellStart"/>
      <w:r>
        <w:t>Cakestand</w:t>
      </w:r>
      <w:proofErr w:type="spellEnd"/>
      <w:r>
        <w:t>). Explore bundling strategies to pair best-selling items with mid-tier products to boost overall sales and introduce customers to a wider range of offerings.</w:t>
      </w:r>
    </w:p>
    <w:p w14:paraId="422D5FBF" w14:textId="77777777" w:rsidR="00BC1521" w:rsidRDefault="00000000" w:rsidP="00104063">
      <w:pPr>
        <w:pStyle w:val="MdListItem"/>
        <w:numPr>
          <w:ilvl w:val="0"/>
          <w:numId w:val="3"/>
        </w:numPr>
        <w:jc w:val="both"/>
      </w:pPr>
      <w:r>
        <w:rPr>
          <w:rStyle w:val="MdStrong"/>
        </w:rPr>
        <w:t>Market Expansion</w:t>
      </w:r>
      <w:r>
        <w:t>: Intensify focus on expanding market share in high-potential European countries such as the Netherlands, Ireland, Germany, and France. Develop targeted marketing campaigns and localized strategies for these regions. Furthermore, capitalize on the strong performance in Australia by optimizing logistics and potentially establishing regional distribution hubs to reduce shipping costs and improve delivery times.</w:t>
      </w:r>
    </w:p>
    <w:p w14:paraId="61BF04EA" w14:textId="77777777" w:rsidR="00BC1521" w:rsidRDefault="00000000" w:rsidP="00104063">
      <w:pPr>
        <w:pStyle w:val="MdListItem"/>
        <w:numPr>
          <w:ilvl w:val="0"/>
          <w:numId w:val="3"/>
        </w:numPr>
        <w:jc w:val="both"/>
      </w:pPr>
      <w:r>
        <w:rPr>
          <w:rStyle w:val="MdStrong"/>
        </w:rPr>
        <w:t>Marketing and Seasonality</w:t>
      </w:r>
      <w:r>
        <w:t>: Design and execute pre-holiday marketing campaigns from September to November to maximize sales during the peak season. Implement post-December clearance sales or promotional events to manage inventory and mitigate the sharp decline observed after the holiday rush.</w:t>
      </w:r>
    </w:p>
    <w:p w14:paraId="782C7FBD" w14:textId="77777777" w:rsidR="00BC1521" w:rsidRDefault="00000000" w:rsidP="00104063">
      <w:pPr>
        <w:pStyle w:val="MdListItem"/>
        <w:numPr>
          <w:ilvl w:val="0"/>
          <w:numId w:val="3"/>
        </w:numPr>
        <w:jc w:val="both"/>
      </w:pPr>
      <w:r>
        <w:rPr>
          <w:rStyle w:val="MdStrong"/>
        </w:rPr>
        <w:t>Customer Relationship Management (CRM)</w:t>
      </w:r>
      <w:r>
        <w:t>: Implement a tiered CRM program based on the RFM segments:</w:t>
      </w:r>
    </w:p>
    <w:p w14:paraId="5E2D63BA" w14:textId="77777777" w:rsidR="00BC1521" w:rsidRDefault="00000000" w:rsidP="00104063">
      <w:pPr>
        <w:pStyle w:val="MdListItem"/>
        <w:numPr>
          <w:ilvl w:val="1"/>
          <w:numId w:val="2"/>
        </w:numPr>
        <w:jc w:val="both"/>
      </w:pPr>
      <w:r>
        <w:rPr>
          <w:rStyle w:val="MdStrong"/>
        </w:rPr>
        <w:t>VIPs</w:t>
      </w:r>
      <w:r>
        <w:t>: Offer exclusive benefits, personalized communications, and early access to new products to reinforce loyalty.</w:t>
      </w:r>
    </w:p>
    <w:p w14:paraId="0E57D055" w14:textId="77777777" w:rsidR="00BC1521" w:rsidRDefault="00000000" w:rsidP="00104063">
      <w:pPr>
        <w:pStyle w:val="MdListItem"/>
        <w:numPr>
          <w:ilvl w:val="1"/>
          <w:numId w:val="2"/>
        </w:numPr>
        <w:jc w:val="both"/>
      </w:pPr>
      <w:r>
        <w:rPr>
          <w:rStyle w:val="MdStrong"/>
        </w:rPr>
        <w:t>Loyal Customers</w:t>
      </w:r>
      <w:r>
        <w:t>: Encourage repeat purchases through loyalty programs, special discounts, and personalized recommendations.</w:t>
      </w:r>
    </w:p>
    <w:p w14:paraId="59E006B9" w14:textId="77777777" w:rsidR="00BC1521" w:rsidRDefault="00000000" w:rsidP="00104063">
      <w:pPr>
        <w:pStyle w:val="MdListItem"/>
        <w:numPr>
          <w:ilvl w:val="1"/>
          <w:numId w:val="2"/>
        </w:numPr>
        <w:jc w:val="both"/>
      </w:pPr>
      <w:r>
        <w:rPr>
          <w:rStyle w:val="MdStrong"/>
        </w:rPr>
        <w:t>Potential Customers</w:t>
      </w:r>
      <w:r>
        <w:t>: Develop campaigns to increase purchase frequency and average order value, such as targeted promotions or product suggestions based on their initial purchases.</w:t>
      </w:r>
    </w:p>
    <w:p w14:paraId="026EC9BE" w14:textId="77777777" w:rsidR="00BC1521" w:rsidRDefault="00000000" w:rsidP="00104063">
      <w:pPr>
        <w:pStyle w:val="MdListItem"/>
        <w:numPr>
          <w:ilvl w:val="1"/>
          <w:numId w:val="2"/>
        </w:numPr>
        <w:jc w:val="both"/>
      </w:pPr>
      <w:r>
        <w:rPr>
          <w:rStyle w:val="MdStrong"/>
        </w:rPr>
        <w:t>At Risk Customers</w:t>
      </w:r>
      <w:r>
        <w:t>: Initiate re-engagement campaigns, including win-back offers, feedback surveys, and personalized outreach to understand and address their declining activity.</w:t>
      </w:r>
    </w:p>
    <w:p w14:paraId="6F3E2C07" w14:textId="77777777" w:rsidR="00BC1521" w:rsidRDefault="00000000" w:rsidP="00104063">
      <w:pPr>
        <w:pStyle w:val="MdListItem"/>
        <w:numPr>
          <w:ilvl w:val="1"/>
          <w:numId w:val="2"/>
        </w:numPr>
        <w:jc w:val="both"/>
      </w:pPr>
      <w:r>
        <w:rPr>
          <w:rStyle w:val="MdStrong"/>
        </w:rPr>
        <w:t>Lost Customers</w:t>
      </w:r>
      <w:r>
        <w:t>: Conduct deep-dive analysis to understand reasons for churn and explore last-ditch re-activation efforts with highly attractive offers.</w:t>
      </w:r>
    </w:p>
    <w:p w14:paraId="3F2BF69E" w14:textId="77777777" w:rsidR="00BC1521" w:rsidRDefault="00BC1521" w:rsidP="00104063">
      <w:pPr>
        <w:pStyle w:val="MdSpace"/>
        <w:spacing w:after="60"/>
        <w:jc w:val="both"/>
      </w:pPr>
    </w:p>
    <w:p w14:paraId="14A0CF5D" w14:textId="77777777" w:rsidR="00BC1521" w:rsidRPr="00F4745F" w:rsidRDefault="00000000" w:rsidP="00104063">
      <w:pPr>
        <w:pStyle w:val="MdHeading2"/>
        <w:jc w:val="both"/>
      </w:pPr>
      <w:r w:rsidRPr="00F4745F">
        <w:t>5. Conclusion</w:t>
      </w:r>
    </w:p>
    <w:p w14:paraId="783FCC98" w14:textId="77777777" w:rsidR="00BC1521" w:rsidRDefault="00000000" w:rsidP="00104063">
      <w:pPr>
        <w:pStyle w:val="MdParagraph"/>
        <w:jc w:val="both"/>
      </w:pPr>
      <w:r>
        <w:t>This e-commerce sales analysis underscores the profound value of data-driven insights in shaping effective business strategies. The findings highlight the critical role of specific products and markets, the predictable seasonality of sales, and the diverse nature of the customer base. By implementing the recommended strategies in inventory management, market development, seasonal marketing, and customer relationship management, the business can enhance operational efficiency, foster customer loyalty, and achieve sustainable revenue growth. Continuous monitoring and iterative analysis will be essential to adapt to evolving market dynamics and customer preferences.</w:t>
      </w:r>
    </w:p>
    <w:sectPr w:rsidR="00BC152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gency FB bold">
    <w:panose1 w:val="00000000000000000000"/>
    <w:charset w:val="00"/>
    <w:family w:val="roman"/>
    <w:notTrueType/>
    <w:pitch w:val="default"/>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E0EBE"/>
    <w:multiLevelType w:val="hybridMultilevel"/>
    <w:tmpl w:val="E43A3B04"/>
    <w:lvl w:ilvl="0" w:tplc="7054A746">
      <w:start w:val="1"/>
      <w:numFmt w:val="bullet"/>
      <w:lvlText w:val="●"/>
      <w:lvlJc w:val="left"/>
      <w:pPr>
        <w:ind w:left="720" w:hanging="360"/>
      </w:pPr>
    </w:lvl>
    <w:lvl w:ilvl="1" w:tplc="B1EC3B2A">
      <w:start w:val="1"/>
      <w:numFmt w:val="bullet"/>
      <w:lvlText w:val="○"/>
      <w:lvlJc w:val="left"/>
      <w:pPr>
        <w:ind w:left="1440" w:hanging="360"/>
      </w:pPr>
    </w:lvl>
    <w:lvl w:ilvl="2" w:tplc="2E42EDCE">
      <w:start w:val="1"/>
      <w:numFmt w:val="bullet"/>
      <w:lvlText w:val="■"/>
      <w:lvlJc w:val="left"/>
      <w:pPr>
        <w:ind w:left="2160" w:hanging="360"/>
      </w:pPr>
    </w:lvl>
    <w:lvl w:ilvl="3" w:tplc="84DEC4AC">
      <w:start w:val="1"/>
      <w:numFmt w:val="bullet"/>
      <w:lvlText w:val="●"/>
      <w:lvlJc w:val="left"/>
      <w:pPr>
        <w:ind w:left="2880" w:hanging="360"/>
      </w:pPr>
    </w:lvl>
    <w:lvl w:ilvl="4" w:tplc="A5FC357A">
      <w:start w:val="1"/>
      <w:numFmt w:val="bullet"/>
      <w:lvlText w:val="○"/>
      <w:lvlJc w:val="left"/>
      <w:pPr>
        <w:ind w:left="3600" w:hanging="360"/>
      </w:pPr>
    </w:lvl>
    <w:lvl w:ilvl="5" w:tplc="E788EC2A">
      <w:start w:val="1"/>
      <w:numFmt w:val="bullet"/>
      <w:lvlText w:val="■"/>
      <w:lvlJc w:val="left"/>
      <w:pPr>
        <w:ind w:left="4320" w:hanging="360"/>
      </w:pPr>
    </w:lvl>
    <w:lvl w:ilvl="6" w:tplc="CB5C0FB2">
      <w:start w:val="1"/>
      <w:numFmt w:val="bullet"/>
      <w:lvlText w:val="●"/>
      <w:lvlJc w:val="left"/>
      <w:pPr>
        <w:ind w:left="5040" w:hanging="360"/>
      </w:pPr>
    </w:lvl>
    <w:lvl w:ilvl="7" w:tplc="83806E1C">
      <w:start w:val="1"/>
      <w:numFmt w:val="bullet"/>
      <w:lvlText w:val="●"/>
      <w:lvlJc w:val="left"/>
      <w:pPr>
        <w:ind w:left="5760" w:hanging="360"/>
      </w:pPr>
    </w:lvl>
    <w:lvl w:ilvl="8" w:tplc="92D8FFC0">
      <w:start w:val="1"/>
      <w:numFmt w:val="bullet"/>
      <w:lvlText w:val="●"/>
      <w:lvlJc w:val="left"/>
      <w:pPr>
        <w:ind w:left="6480" w:hanging="360"/>
      </w:pPr>
    </w:lvl>
  </w:abstractNum>
  <w:abstractNum w:abstractNumId="1" w15:restartNumberingAfterBreak="0">
    <w:nsid w:val="393146C5"/>
    <w:multiLevelType w:val="multilevel"/>
    <w:tmpl w:val="8422729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3983E8C"/>
    <w:multiLevelType w:val="hybridMultilevel"/>
    <w:tmpl w:val="82D49ACA"/>
    <w:lvl w:ilvl="0" w:tplc="B40813CC">
      <w:start w:val="1"/>
      <w:numFmt w:val="bullet"/>
      <w:lvlText w:val="•"/>
      <w:lvlJc w:val="left"/>
      <w:pPr>
        <w:ind w:left="720" w:hanging="360"/>
      </w:pPr>
    </w:lvl>
    <w:lvl w:ilvl="1" w:tplc="F4D662FA">
      <w:start w:val="1"/>
      <w:numFmt w:val="bullet"/>
      <w:lvlText w:val="◦"/>
      <w:lvlJc w:val="left"/>
      <w:pPr>
        <w:ind w:left="1440" w:hanging="360"/>
      </w:pPr>
    </w:lvl>
    <w:lvl w:ilvl="2" w:tplc="A5DC80D2">
      <w:start w:val="1"/>
      <w:numFmt w:val="bullet"/>
      <w:lvlText w:val="•"/>
      <w:lvlJc w:val="left"/>
      <w:pPr>
        <w:ind w:left="2160" w:hanging="360"/>
      </w:pPr>
    </w:lvl>
    <w:lvl w:ilvl="3" w:tplc="8422A626">
      <w:start w:val="1"/>
      <w:numFmt w:val="bullet"/>
      <w:lvlText w:val="◦"/>
      <w:lvlJc w:val="left"/>
      <w:pPr>
        <w:ind w:left="2880" w:hanging="360"/>
      </w:pPr>
    </w:lvl>
    <w:lvl w:ilvl="4" w:tplc="9B48B188">
      <w:start w:val="1"/>
      <w:numFmt w:val="bullet"/>
      <w:lvlText w:val="•"/>
      <w:lvlJc w:val="left"/>
      <w:pPr>
        <w:ind w:left="3600" w:hanging="360"/>
      </w:pPr>
    </w:lvl>
    <w:lvl w:ilvl="5" w:tplc="4EE6542A">
      <w:start w:val="1"/>
      <w:numFmt w:val="bullet"/>
      <w:lvlText w:val="◦"/>
      <w:lvlJc w:val="left"/>
      <w:pPr>
        <w:ind w:left="4320" w:hanging="360"/>
      </w:pPr>
    </w:lvl>
    <w:lvl w:ilvl="6" w:tplc="27B2275E">
      <w:start w:val="1"/>
      <w:numFmt w:val="bullet"/>
      <w:lvlText w:val="•"/>
      <w:lvlJc w:val="left"/>
      <w:pPr>
        <w:ind w:left="5040" w:hanging="360"/>
      </w:pPr>
    </w:lvl>
    <w:lvl w:ilvl="7" w:tplc="8D4E51B0">
      <w:numFmt w:val="decimal"/>
      <w:lvlText w:val=""/>
      <w:lvlJc w:val="left"/>
    </w:lvl>
    <w:lvl w:ilvl="8" w:tplc="3C64527E">
      <w:numFmt w:val="decimal"/>
      <w:lvlText w:val=""/>
      <w:lvlJc w:val="left"/>
    </w:lvl>
  </w:abstractNum>
  <w:num w:numId="1" w16cid:durableId="1561749714">
    <w:abstractNumId w:val="0"/>
    <w:lvlOverride w:ilvl="0">
      <w:startOverride w:val="1"/>
    </w:lvlOverride>
  </w:num>
  <w:num w:numId="2" w16cid:durableId="1048916851">
    <w:abstractNumId w:val="2"/>
    <w:lvlOverride w:ilvl="0">
      <w:startOverride w:val="1"/>
    </w:lvlOverride>
  </w:num>
  <w:num w:numId="3" w16cid:durableId="36255920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521"/>
    <w:rsid w:val="00104063"/>
    <w:rsid w:val="00475EBA"/>
    <w:rsid w:val="0065729F"/>
    <w:rsid w:val="00672E11"/>
    <w:rsid w:val="0099026B"/>
    <w:rsid w:val="00B12161"/>
    <w:rsid w:val="00BA7019"/>
    <w:rsid w:val="00BC1521"/>
    <w:rsid w:val="00C46B76"/>
    <w:rsid w:val="00EE4059"/>
    <w:rsid w:val="00F4745F"/>
    <w:rsid w:val="00F53A58"/>
    <w:rsid w:val="00F6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13B0"/>
  <w15:docId w15:val="{97F69C26-3513-4762-887A-A42A3066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color="0563C1"/>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MdSpace">
    <w:name w:val="MdSpace"/>
    <w:qFormat/>
    <w:rPr>
      <w:sz w:val="12"/>
      <w:szCs w:val="12"/>
    </w:rPr>
  </w:style>
  <w:style w:type="paragraph" w:customStyle="1" w:styleId="MdCode">
    <w:name w:val="MdCode"/>
    <w:qFormat/>
    <w:pPr>
      <w:pBdr>
        <w:top w:val="single" w:sz="1" w:space="8" w:color="A5A5A5"/>
        <w:left w:val="single" w:sz="1" w:space="8" w:color="A5A5A5"/>
        <w:bottom w:val="single" w:sz="1" w:space="8" w:color="A5A5A5"/>
        <w:right w:val="single" w:sz="1" w:space="8" w:color="A5A5A5"/>
      </w:pBdr>
      <w:spacing w:before="200" w:after="200"/>
    </w:pPr>
    <w:rPr>
      <w:rFonts w:ascii="Courier New" w:eastAsia="Courier New" w:hAnsi="Courier New" w:cs="Courier New"/>
      <w:color w:val="70AD47"/>
      <w:sz w:val="22"/>
      <w:szCs w:val="22"/>
    </w:rPr>
  </w:style>
  <w:style w:type="paragraph" w:customStyle="1" w:styleId="MdHr">
    <w:name w:val="MdHr"/>
    <w:qFormat/>
    <w:pPr>
      <w:pBdr>
        <w:bottom w:val="single" w:sz="1" w:space="1" w:color="A5A5A5"/>
      </w:pBdr>
      <w:spacing w:before="240" w:after="240"/>
    </w:pPr>
  </w:style>
  <w:style w:type="paragraph" w:customStyle="1" w:styleId="MdBlockquote">
    <w:name w:val="MdBlockquote"/>
    <w:qFormat/>
    <w:pPr>
      <w:pBdr>
        <w:left w:val="single" w:sz="20" w:space="12" w:color="A5A5A5"/>
      </w:pBdr>
      <w:spacing w:before="200" w:after="200"/>
      <w:ind w:left="360"/>
    </w:pPr>
    <w:rPr>
      <w:i/>
      <w:iCs/>
      <w:color w:val="666666"/>
    </w:rPr>
  </w:style>
  <w:style w:type="paragraph" w:customStyle="1" w:styleId="MdHtml">
    <w:name w:val="MdHtml"/>
    <w:qFormat/>
    <w:rPr>
      <w:rFonts w:ascii="Courier New" w:eastAsia="Courier New" w:hAnsi="Courier New" w:cs="Courier New"/>
      <w:color w:val="ED7D31"/>
    </w:rPr>
  </w:style>
  <w:style w:type="paragraph" w:customStyle="1" w:styleId="MdDef">
    <w:name w:val="MdDef"/>
    <w:qFormat/>
    <w:pPr>
      <w:ind w:left="720" w:hanging="360"/>
    </w:pPr>
  </w:style>
  <w:style w:type="paragraph" w:customStyle="1" w:styleId="MdParagraph">
    <w:name w:val="MdParagraph"/>
    <w:qFormat/>
    <w:pPr>
      <w:spacing w:before="120" w:after="120"/>
    </w:pPr>
  </w:style>
  <w:style w:type="paragraph" w:customStyle="1" w:styleId="MdText">
    <w:name w:val="MdText"/>
    <w:qFormat/>
  </w:style>
  <w:style w:type="paragraph" w:customStyle="1" w:styleId="MdFootnote">
    <w:name w:val="MdFootnote"/>
    <w:qFormat/>
    <w:rPr>
      <w:vertAlign w:val="superscript"/>
    </w:rPr>
  </w:style>
  <w:style w:type="paragraph" w:customStyle="1" w:styleId="MdListItem">
    <w:name w:val="MdListItem"/>
    <w:qFormat/>
    <w:pPr>
      <w:spacing w:before="60" w:after="60"/>
      <w:ind w:left="720" w:hanging="360"/>
    </w:pPr>
  </w:style>
  <w:style w:type="paragraph" w:customStyle="1" w:styleId="MdTable">
    <w:name w:val="MdTable"/>
    <w:qFormat/>
    <w:pPr>
      <w:spacing w:before="60" w:after="60"/>
    </w:pPr>
  </w:style>
  <w:style w:type="paragraph" w:customStyle="1" w:styleId="MdTableHeader">
    <w:name w:val="MdTableHeader"/>
    <w:qFormat/>
    <w:pPr>
      <w:spacing w:before="60" w:after="60"/>
    </w:pPr>
    <w:rPr>
      <w:b/>
      <w:bCs/>
      <w:sz w:val="22"/>
      <w:szCs w:val="22"/>
    </w:rPr>
  </w:style>
  <w:style w:type="paragraph" w:customStyle="1" w:styleId="MdTableCell">
    <w:name w:val="MdTableCell"/>
    <w:qFormat/>
    <w:pPr>
      <w:spacing w:before="40" w:after="40"/>
    </w:pPr>
    <w:rPr>
      <w:sz w:val="20"/>
      <w:szCs w:val="20"/>
    </w:rPr>
  </w:style>
  <w:style w:type="paragraph" w:customStyle="1" w:styleId="MdHeading1">
    <w:name w:val="MdHeading1"/>
    <w:qFormat/>
    <w:pPr>
      <w:keepNext/>
      <w:spacing w:before="480" w:after="240"/>
      <w:outlineLvl w:val="0"/>
    </w:pPr>
    <w:rPr>
      <w:b/>
      <w:bCs/>
      <w:sz w:val="36"/>
      <w:szCs w:val="36"/>
    </w:rPr>
  </w:style>
  <w:style w:type="paragraph" w:customStyle="1" w:styleId="MdHeading2">
    <w:name w:val="MdHeading2"/>
    <w:qFormat/>
    <w:pPr>
      <w:keepNext/>
      <w:spacing w:before="400" w:after="200"/>
      <w:outlineLvl w:val="1"/>
    </w:pPr>
    <w:rPr>
      <w:b/>
      <w:bCs/>
      <w:sz w:val="32"/>
      <w:szCs w:val="32"/>
    </w:rPr>
  </w:style>
  <w:style w:type="paragraph" w:customStyle="1" w:styleId="MdHeading3">
    <w:name w:val="MdHeading3"/>
    <w:qFormat/>
    <w:pPr>
      <w:keepNext/>
      <w:spacing w:before="320" w:after="160"/>
      <w:outlineLvl w:val="2"/>
    </w:pPr>
    <w:rPr>
      <w:b/>
      <w:bCs/>
      <w:sz w:val="28"/>
      <w:szCs w:val="28"/>
    </w:rPr>
  </w:style>
  <w:style w:type="paragraph" w:customStyle="1" w:styleId="MdHeading4">
    <w:name w:val="MdHeading4"/>
    <w:qFormat/>
    <w:pPr>
      <w:keepNext/>
      <w:spacing w:before="280" w:after="140"/>
      <w:outlineLvl w:val="3"/>
    </w:pPr>
    <w:rPr>
      <w:b/>
      <w:bCs/>
      <w:sz w:val="26"/>
      <w:szCs w:val="26"/>
    </w:rPr>
  </w:style>
  <w:style w:type="paragraph" w:customStyle="1" w:styleId="MdHeading5">
    <w:name w:val="MdHeading5"/>
    <w:qFormat/>
    <w:pPr>
      <w:keepNext/>
      <w:spacing w:before="240" w:after="120"/>
      <w:outlineLvl w:val="4"/>
    </w:pPr>
    <w:rPr>
      <w:b/>
      <w:bCs/>
      <w:i/>
      <w:iCs/>
    </w:rPr>
  </w:style>
  <w:style w:type="paragraph" w:customStyle="1" w:styleId="MdHeading6">
    <w:name w:val="MdHeading6"/>
    <w:qFormat/>
    <w:pPr>
      <w:keepNext/>
      <w:spacing w:before="240" w:after="120"/>
      <w:outlineLvl w:val="5"/>
    </w:pPr>
    <w:rPr>
      <w:i/>
      <w:iCs/>
    </w:rPr>
  </w:style>
  <w:style w:type="character" w:customStyle="1" w:styleId="MdTag">
    <w:name w:val="MdTag"/>
    <w:uiPriority w:val="99"/>
    <w:unhideWhenUsed/>
    <w:qFormat/>
    <w:rPr>
      <w:rFonts w:ascii="Courier New" w:eastAsia="Courier New" w:hAnsi="Courier New" w:cs="Courier New"/>
      <w:color w:val="ED7D31"/>
    </w:rPr>
  </w:style>
  <w:style w:type="character" w:customStyle="1" w:styleId="MdLink">
    <w:name w:val="MdLink"/>
    <w:uiPriority w:val="99"/>
    <w:unhideWhenUsed/>
    <w:qFormat/>
    <w:rPr>
      <w:color w:val="0563C1"/>
      <w:u w:val="single"/>
    </w:rPr>
  </w:style>
  <w:style w:type="character" w:customStyle="1" w:styleId="MdStrong">
    <w:name w:val="MdStrong"/>
    <w:uiPriority w:val="99"/>
    <w:unhideWhenUsed/>
    <w:qFormat/>
    <w:rPr>
      <w:b/>
      <w:bCs/>
    </w:rPr>
  </w:style>
  <w:style w:type="character" w:customStyle="1" w:styleId="MdEm">
    <w:name w:val="MdEm"/>
    <w:uiPriority w:val="99"/>
    <w:unhideWhenUsed/>
    <w:qFormat/>
    <w:rPr>
      <w:i/>
      <w:iCs/>
    </w:rPr>
  </w:style>
  <w:style w:type="character" w:customStyle="1" w:styleId="MdCodespan">
    <w:name w:val="MdCodespan"/>
    <w:uiPriority w:val="99"/>
    <w:unhideWhenUsed/>
    <w:qFormat/>
    <w:rPr>
      <w:rFonts w:ascii="Courier New" w:eastAsia="Courier New" w:hAnsi="Courier New" w:cs="Courier New"/>
      <w:color w:val="70AD47"/>
    </w:rPr>
  </w:style>
  <w:style w:type="character" w:customStyle="1" w:styleId="MdDel">
    <w:name w:val="MdDel"/>
    <w:uiPriority w:val="99"/>
    <w:unhideWhenUsed/>
    <w:qFormat/>
    <w:rPr>
      <w:strike/>
    </w:rPr>
  </w:style>
  <w:style w:type="character" w:customStyle="1" w:styleId="MdBr">
    <w:name w:val="MdBr"/>
    <w:uiPriority w:val="99"/>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Converted Document</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Tahmid Rahman Siddiki Tahmid</cp:lastModifiedBy>
  <cp:revision>5</cp:revision>
  <cp:lastPrinted>2025-09-18T11:01:00Z</cp:lastPrinted>
  <dcterms:created xsi:type="dcterms:W3CDTF">2025-09-18T11:01:00Z</dcterms:created>
  <dcterms:modified xsi:type="dcterms:W3CDTF">2025-09-18T11:21:00Z</dcterms:modified>
</cp:coreProperties>
</file>