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RESEARCH PROTOCOL</w:t>
      </w:r>
    </w:p>
    <w:p>
      <w:pPr>
        <w:spacing w:after="60"/>
        <w:jc w:val="center"/>
      </w:pPr>
      <w:r>
        <w:rPr>
          <w:rFonts w:ascii="Times New Roman" w:cs="Times New Roman" w:eastAsia="Times New Roman" w:hAnsi="Times New Roman"/>
          <w:b/>
          <w:bCs/>
          <w:sz w:val="24"/>
          <w:szCs w:val="24"/>
        </w:rPr>
        <w:t xml:space="preserve">AI-ENABLED DIGITAL TRANSFORMATION AND SUSTAINABLE SME GROWTH</w:t>
      </w:r>
    </w:p>
    <w:p>
      <w:pPr>
        <w:spacing w:after="240"/>
        <w:jc w:val="center"/>
      </w:pPr>
      <w:r>
        <w:rPr>
          <w:rFonts w:ascii="Times New Roman" w:cs="Times New Roman" w:eastAsia="Times New Roman" w:hAnsi="Times New Roman"/>
          <w:i/>
          <w:iCs/>
          <w:sz w:val="24"/>
          <w:szCs w:val="24"/>
        </w:rPr>
        <w:t xml:space="preserve">evidence from the European Union and lessons for Azerbaijan</w:t>
      </w:r>
    </w:p>
    <w:p>
      <w:pPr>
        <w:spacing w:after="120" w:line="276"/>
      </w:pPr>
      <w:r>
        <w:rPr>
          <w:rFonts w:ascii="Times New Roman" w:cs="Times New Roman" w:eastAsia="Times New Roman" w:hAnsi="Times New Roman"/>
          <w:b/>
          <w:bCs/>
          <w:sz w:val="24"/>
          <w:szCs w:val="24"/>
        </w:rPr>
        <w:t xml:space="preserve">Conference: </w:t>
      </w:r>
      <w:r>
        <w:rPr>
          <w:rFonts w:ascii="Times New Roman" w:cs="Times New Roman" w:eastAsia="Times New Roman" w:hAnsi="Times New Roman"/>
          <w:sz w:val="24"/>
          <w:szCs w:val="24"/>
        </w:rPr>
        <w:t xml:space="preserve">2nd International Conference "New Generation Economy: Challenges and Prospects", ESRI, Baku, 16 October 2026</w:t>
      </w:r>
    </w:p>
    <w:p>
      <w:pPr>
        <w:spacing w:after="120" w:line="276"/>
      </w:pPr>
      <w:r>
        <w:rPr>
          <w:rFonts w:ascii="Times New Roman" w:cs="Times New Roman" w:eastAsia="Times New Roman" w:hAnsi="Times New Roman"/>
          <w:b/>
          <w:bCs/>
          <w:sz w:val="24"/>
          <w:szCs w:val="24"/>
        </w:rPr>
        <w:t xml:space="preserve">Protocol date: </w:t>
      </w:r>
      <w:r>
        <w:rPr>
          <w:rFonts w:ascii="Times New Roman" w:cs="Times New Roman" w:eastAsia="Times New Roman" w:hAnsi="Times New Roman"/>
          <w:sz w:val="24"/>
          <w:szCs w:val="24"/>
        </w:rPr>
        <w:t xml:space="preserve">10 October 2026. Fixed from this date; later changes are recorded in Project_Log.xlsx (Decision log) with date and reason.</w:t>
      </w:r>
    </w:p>
    <w:p>
      <w:pPr>
        <w:pStyle w:val="Heading1"/>
        <w:spacing w:after="120" w:before="240"/>
      </w:pPr>
      <w:r>
        <w:rPr>
          <w:rFonts w:ascii="Times New Roman" w:cs="Times New Roman" w:eastAsia="Times New Roman" w:hAnsi="Times New Roman"/>
          <w:b/>
          <w:bCs/>
          <w:sz w:val="26"/>
          <w:szCs w:val="26"/>
        </w:rPr>
        <w:t xml:space="preserve">1. Research question</w:t>
      </w:r>
    </w:p>
    <w:p>
      <w:pPr>
        <w:spacing w:after="120" w:line="276"/>
      </w:pPr>
      <w:r>
        <w:rPr>
          <w:rFonts w:ascii="Times New Roman" w:cs="Times New Roman" w:eastAsia="Times New Roman" w:hAnsi="Times New Roman"/>
          <w:b/>
          <w:bCs/>
          <w:sz w:val="24"/>
          <w:szCs w:val="24"/>
        </w:rPr>
        <w:t xml:space="preserve">Main: </w:t>
      </w:r>
      <w:r>
        <w:rPr>
          <w:rFonts w:ascii="Times New Roman" w:cs="Times New Roman" w:eastAsia="Times New Roman" w:hAnsi="Times New Roman"/>
          <w:sz w:val="24"/>
          <w:szCs w:val="24"/>
        </w:rPr>
        <w:t xml:space="preserve">Is higher AI adoption among small and medium-sized enterprises associated with higher real labour productivity and employment in those enterprises across EU-27 member states between 2021 and 2024?</w:t>
      </w:r>
    </w:p>
    <w:p>
      <w:pPr>
        <w:spacing w:after="120" w:line="276"/>
      </w:pPr>
      <w:r>
        <w:rPr>
          <w:rFonts w:ascii="Times New Roman" w:cs="Times New Roman" w:eastAsia="Times New Roman" w:hAnsi="Times New Roman"/>
          <w:b/>
          <w:bCs/>
          <w:sz w:val="24"/>
          <w:szCs w:val="24"/>
        </w:rPr>
        <w:t xml:space="preserve">Secondary (descriptive): </w:t>
      </w:r>
      <w:r>
        <w:rPr>
          <w:rFonts w:ascii="Times New Roman" w:cs="Times New Roman" w:eastAsia="Times New Roman" w:hAnsi="Times New Roman"/>
          <w:sz w:val="24"/>
          <w:szCs w:val="24"/>
        </w:rPr>
        <w:t xml:space="preserve">How large is the AI adoption gap between SMEs and large firms, and how did it change from 2021 to 2025?</w:t>
      </w:r>
    </w:p>
    <w:p>
      <w:pPr>
        <w:pStyle w:val="Heading1"/>
        <w:spacing w:after="120" w:before="240"/>
      </w:pPr>
      <w:r>
        <w:rPr>
          <w:rFonts w:ascii="Times New Roman" w:cs="Times New Roman" w:eastAsia="Times New Roman" w:hAnsi="Times New Roman"/>
          <w:b/>
          <w:bCs/>
          <w:sz w:val="26"/>
          <w:szCs w:val="26"/>
        </w:rPr>
        <w:t xml:space="preserve">2. Definitions</w:t>
      </w:r>
    </w:p>
    <w:p>
      <w:pPr>
        <w:pStyle w:val="ListParagraph"/>
        <w:numPr>
          <w:ilvl w:val="0"/>
          <w:numId w:val="2"/>
        </w:numPr>
        <w:spacing w:after="80" w:line="276"/>
      </w:pPr>
      <w:r>
        <w:rPr>
          <w:rFonts w:ascii="Times New Roman" w:cs="Times New Roman" w:eastAsia="Times New Roman" w:hAnsi="Times New Roman"/>
          <w:b/>
          <w:bCs/>
          <w:sz w:val="24"/>
          <w:szCs w:val="24"/>
        </w:rPr>
        <w:t xml:space="preserve">SME: </w:t>
      </w:r>
      <w:r>
        <w:rPr>
          <w:rFonts w:ascii="Times New Roman" w:cs="Times New Roman" w:eastAsia="Times New Roman" w:hAnsi="Times New Roman"/>
          <w:sz w:val="24"/>
          <w:szCs w:val="24"/>
        </w:rPr>
        <w:t xml:space="preserve">an enterprise with 10 to 249 persons employed, split into small (10-49) and medium (50-249), following the headcount threshold of Commission Recommendation 2003/361/EC. Micro enterprises (fewer than 10) are excluded because the Eurostat AI survey covers only enterprises with 10 or more persons employed.</w:t>
      </w:r>
    </w:p>
    <w:p>
      <w:pPr>
        <w:pStyle w:val="ListParagraph"/>
        <w:numPr>
          <w:ilvl w:val="0"/>
          <w:numId w:val="2"/>
        </w:numPr>
        <w:spacing w:after="80" w:line="276"/>
      </w:pPr>
      <w:r>
        <w:rPr>
          <w:rFonts w:ascii="Times New Roman" w:cs="Times New Roman" w:eastAsia="Times New Roman" w:hAnsi="Times New Roman"/>
          <w:b/>
          <w:bCs/>
          <w:sz w:val="24"/>
          <w:szCs w:val="24"/>
        </w:rPr>
        <w:t xml:space="preserve">AI adoption: </w:t>
      </w:r>
      <w:r>
        <w:rPr>
          <w:rFonts w:ascii="Times New Roman" w:cs="Times New Roman" w:eastAsia="Times New Roman" w:hAnsi="Times New Roman"/>
          <w:sz w:val="24"/>
          <w:szCs w:val="24"/>
        </w:rPr>
        <w:t xml:space="preserve">the percentage of enterprises in a size class that use at least one AI technology (Eurostat indicator E_AI_TANY).</w:t>
      </w:r>
    </w:p>
    <w:p>
      <w:pPr>
        <w:pStyle w:val="ListParagraph"/>
        <w:numPr>
          <w:ilvl w:val="0"/>
          <w:numId w:val="2"/>
        </w:numPr>
        <w:spacing w:after="80" w:line="276"/>
      </w:pPr>
      <w:r>
        <w:rPr>
          <w:rFonts w:ascii="Times New Roman" w:cs="Times New Roman" w:eastAsia="Times New Roman" w:hAnsi="Times New Roman"/>
          <w:b/>
          <w:bCs/>
          <w:sz w:val="24"/>
          <w:szCs w:val="24"/>
        </w:rPr>
        <w:t xml:space="preserve">Sustainable SME growth: </w:t>
      </w:r>
      <w:r>
        <w:rPr>
          <w:rFonts w:ascii="Times New Roman" w:cs="Times New Roman" w:eastAsia="Times New Roman" w:hAnsi="Times New Roman"/>
          <w:sz w:val="24"/>
          <w:szCs w:val="24"/>
        </w:rPr>
        <w:t xml:space="preserve">growth in real labour productivity that is not achieved through job losses. Two dimensions are measured: economic (real labour productivity) and social (employment). The environmental dimension is not measured.</w:t>
      </w:r>
    </w:p>
    <w:p>
      <w:pPr>
        <w:pStyle w:val="Heading1"/>
        <w:spacing w:after="120" w:before="240"/>
      </w:pPr>
      <w:r>
        <w:rPr>
          <w:rFonts w:ascii="Times New Roman" w:cs="Times New Roman" w:eastAsia="Times New Roman" w:hAnsi="Times New Roman"/>
          <w:b/>
          <w:bCs/>
          <w:sz w:val="26"/>
          <w:szCs w:val="26"/>
        </w:rPr>
        <w:t xml:space="preserve">3. Scope</w:t>
      </w:r>
    </w:p>
    <w:p>
      <w:pPr>
        <w:pStyle w:val="ListParagraph"/>
        <w:numPr>
          <w:ilvl w:val="0"/>
          <w:numId w:val="2"/>
        </w:numPr>
        <w:spacing w:after="80" w:line="276"/>
      </w:pPr>
      <w:r>
        <w:rPr>
          <w:rFonts w:ascii="Times New Roman" w:cs="Times New Roman" w:eastAsia="Times New Roman" w:hAnsi="Times New Roman"/>
          <w:b/>
          <w:bCs/>
          <w:sz w:val="24"/>
          <w:szCs w:val="24"/>
        </w:rPr>
        <w:t xml:space="preserve">Countries: </w:t>
      </w:r>
      <w:r>
        <w:rPr>
          <w:rFonts w:ascii="Times New Roman" w:cs="Times New Roman" w:eastAsia="Times New Roman" w:hAnsi="Times New Roman"/>
          <w:sz w:val="24"/>
          <w:szCs w:val="24"/>
        </w:rPr>
        <w:t xml:space="preserve">the 27 EU member states.</w:t>
      </w:r>
    </w:p>
    <w:p>
      <w:pPr>
        <w:pStyle w:val="ListParagraph"/>
        <w:numPr>
          <w:ilvl w:val="0"/>
          <w:numId w:val="2"/>
        </w:numPr>
        <w:spacing w:after="80" w:line="276"/>
      </w:pPr>
      <w:r>
        <w:rPr>
          <w:rFonts w:ascii="Times New Roman" w:cs="Times New Roman" w:eastAsia="Times New Roman" w:hAnsi="Times New Roman"/>
          <w:b/>
          <w:bCs/>
          <w:sz w:val="24"/>
          <w:szCs w:val="24"/>
        </w:rPr>
        <w:t xml:space="preserve">Years: </w:t>
      </w:r>
      <w:r>
        <w:rPr>
          <w:rFonts w:ascii="Times New Roman" w:cs="Times New Roman" w:eastAsia="Times New Roman" w:hAnsi="Times New Roman"/>
          <w:sz w:val="24"/>
          <w:szCs w:val="24"/>
        </w:rPr>
        <w:t xml:space="preserve">2021, 2023 and 2024, the years in which AI data and SME outcome data overlap. AI data for 2025 is used for description only.</w:t>
      </w:r>
    </w:p>
    <w:p>
      <w:pPr>
        <w:pStyle w:val="ListParagraph"/>
        <w:numPr>
          <w:ilvl w:val="0"/>
          <w:numId w:val="2"/>
        </w:numPr>
        <w:spacing w:after="80" w:line="276"/>
      </w:pPr>
      <w:r>
        <w:rPr>
          <w:rFonts w:ascii="Times New Roman" w:cs="Times New Roman" w:eastAsia="Times New Roman" w:hAnsi="Times New Roman"/>
          <w:b/>
          <w:bCs/>
          <w:sz w:val="24"/>
          <w:szCs w:val="24"/>
        </w:rPr>
        <w:t xml:space="preserve">Sector coverage: </w:t>
      </w:r>
      <w:r>
        <w:rPr>
          <w:rFonts w:ascii="Times New Roman" w:cs="Times New Roman" w:eastAsia="Times New Roman" w:hAnsi="Times New Roman"/>
          <w:sz w:val="24"/>
          <w:szCs w:val="24"/>
        </w:rPr>
        <w:t xml:space="preserve">industry, construction and market services, excluding public administration (Eurostat aggregate B-S_X_O_S94).</w:t>
      </w:r>
    </w:p>
    <w:p>
      <w:pPr>
        <w:pStyle w:val="ListParagraph"/>
        <w:numPr>
          <w:ilvl w:val="0"/>
          <w:numId w:val="2"/>
        </w:numPr>
        <w:spacing w:after="80" w:line="276"/>
      </w:pPr>
      <w:r>
        <w:rPr>
          <w:rFonts w:ascii="Times New Roman" w:cs="Times New Roman" w:eastAsia="Times New Roman" w:hAnsi="Times New Roman"/>
          <w:b/>
          <w:bCs/>
          <w:sz w:val="24"/>
          <w:szCs w:val="24"/>
        </w:rPr>
        <w:t xml:space="preserve">Azerbaijan: </w:t>
      </w:r>
      <w:r>
        <w:rPr>
          <w:rFonts w:ascii="Times New Roman" w:cs="Times New Roman" w:eastAsia="Times New Roman" w:hAnsi="Times New Roman"/>
          <w:sz w:val="24"/>
          <w:szCs w:val="24"/>
        </w:rPr>
        <w:t xml:space="preserve">policy case, used in the introduction, a context section and the recommendations. It is not part of the statistical analysis, because no comparable data on AI use by enterprise size exists for Azerbaijan.</w:t>
      </w:r>
    </w:p>
    <w:p>
      <w:pPr>
        <w:pStyle w:val="Heading1"/>
        <w:spacing w:after="120" w:before="240"/>
      </w:pPr>
      <w:r>
        <w:rPr>
          <w:rFonts w:ascii="Times New Roman" w:cs="Times New Roman" w:eastAsia="Times New Roman" w:hAnsi="Times New Roman"/>
          <w:b/>
          <w:bCs/>
          <w:sz w:val="26"/>
          <w:szCs w:val="26"/>
        </w:rPr>
        <w:t xml:space="preserve">4. Theory and variables</w:t>
      </w:r>
    </w:p>
    <w:p>
      <w:pPr>
        <w:spacing w:after="120" w:line="276"/>
      </w:pPr>
      <w:r>
        <w:rPr>
          <w:rFonts w:ascii="Times New Roman" w:cs="Times New Roman" w:eastAsia="Times New Roman" w:hAnsi="Times New Roman"/>
          <w:sz w:val="24"/>
          <w:szCs w:val="24"/>
        </w:rPr>
        <w:t xml:space="preserve">The resource-based view and research on technology diffusion suggest that AI raises productivity only when firms have the skills and complementary digital assets to use it. Digital intensity is therefore included as a control, to separate the association with AI from the association with general digitalisation.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626"/>
      </w:tblGrid>
      <w:tr>
        <w:tc>
          <w:tcPr>
            <w:tcW w:type="dxa" w:w="18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Role</w:t>
            </w:r>
          </w:p>
        </w:tc>
        <w:tc>
          <w:tcPr>
            <w:tcW w:type="dxa" w:w="4600"/>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Variable</w:t>
            </w:r>
          </w:p>
        </w:tc>
        <w:tc>
          <w:tcPr>
            <w:tcW w:type="dxa" w:w="2626"/>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r>
              <w:rPr>
                <w:rFonts w:ascii="Times New Roman" w:cs="Times New Roman" w:eastAsia="Times New Roman" w:hAnsi="Times New Roman"/>
                <w:b/>
                <w:bCs/>
                <w:sz w:val="22"/>
                <w:szCs w:val="22"/>
              </w:rPr>
              <w:t xml:space="preserve">Source</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Dependent 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Log of real labour productivity (thousand 2020 euros per person employed)</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sbs_sc_ovw, deflated with nama_10_gdp (PD20_EUR)</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Dependent 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Log of persons employed</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sbs_sc_ovw</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Independent</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AI adoption rate: % of enterprises in the same size class using at least one AI technology</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isoc_eb_ai (E_AI_TANY)</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Control 1</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Share of enterprises with at least basic digital intensity (DII Version 3; 2023 value carried to 2024)</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isoc_e_dii (E_DI3_GELO)</w:t>
            </w:r>
          </w:p>
        </w:tc>
      </w:tr>
      <w:tr>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Control 2</w:t>
            </w:r>
          </w:p>
        </w:tc>
        <w:tc>
          <w:tcPr>
            <w:tcW w:type="dxa" w:w="4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Real GDP growth (%)</w:t>
            </w:r>
          </w:p>
        </w:tc>
        <w:tc>
          <w:tcPr>
            <w:tcW w:type="dxa" w:w="26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Times New Roman" w:cs="Times New Roman" w:eastAsia="Times New Roman" w:hAnsi="Times New Roman"/>
                <w:b w:val="false"/>
                <w:bCs w:val="false"/>
                <w:sz w:val="22"/>
                <w:szCs w:val="22"/>
              </w:rPr>
              <w:t xml:space="preserve">nama_10_gdp (CLV_PCH_PRE)</w:t>
            </w:r>
          </w:p>
        </w:tc>
      </w:tr>
    </w:tbl>
    <w:p>
      <w:pPr>
        <w:spacing w:after="60"/>
      </w:pPr>
      <w:r>
        <w:rPr>
          <w:rFonts w:ascii="Times New Roman" w:cs="Times New Roman" w:eastAsia="Times New Roman" w:hAnsi="Times New Roman"/>
          <w:sz w:val="24"/>
          <w:szCs w:val="24"/>
        </w:rPr>
        <w:t xml:space="preserve"/>
      </w:r>
    </w:p>
    <w:p>
      <w:pPr>
        <w:pStyle w:val="Heading1"/>
        <w:spacing w:after="120" w:before="240"/>
      </w:pPr>
      <w:r>
        <w:rPr>
          <w:rFonts w:ascii="Times New Roman" w:cs="Times New Roman" w:eastAsia="Times New Roman" w:hAnsi="Times New Roman"/>
          <w:b/>
          <w:bCs/>
          <w:sz w:val="26"/>
          <w:szCs w:val="26"/>
        </w:rPr>
        <w:t xml:space="preserve">5. Method and claim type</w:t>
      </w:r>
    </w:p>
    <w:p>
      <w:pPr>
        <w:pStyle w:val="ListParagraph"/>
        <w:numPr>
          <w:ilvl w:val="0"/>
          <w:numId w:val="2"/>
        </w:numPr>
        <w:spacing w:after="80" w:line="276"/>
      </w:pPr>
      <w:r>
        <w:rPr>
          <w:rFonts w:ascii="Times New Roman" w:cs="Times New Roman" w:eastAsia="Times New Roman" w:hAnsi="Times New Roman"/>
          <w:b/>
          <w:bCs/>
          <w:sz w:val="24"/>
          <w:szCs w:val="24"/>
        </w:rPr>
        <w:t xml:space="preserve">Main model: </w:t>
      </w:r>
      <w:r>
        <w:rPr>
          <w:rFonts w:ascii="Times New Roman" w:cs="Times New Roman" w:eastAsia="Times New Roman" w:hAnsi="Times New Roman"/>
          <w:sz w:val="24"/>
          <w:szCs w:val="24"/>
        </w:rPr>
        <w:t xml:space="preserve">two-way fixed effects panel regression (country and year fixed effects), estimated separately for small and medium enterprises, with up to 81 observations each (27 countries x 3 years). Standard errors clustered by country.</w:t>
      </w:r>
    </w:p>
    <w:p>
      <w:pPr>
        <w:pStyle w:val="ListParagraph"/>
        <w:numPr>
          <w:ilvl w:val="0"/>
          <w:numId w:val="2"/>
        </w:numPr>
        <w:spacing w:after="80" w:line="276"/>
      </w:pPr>
      <w:r>
        <w:rPr>
          <w:rFonts w:ascii="Times New Roman" w:cs="Times New Roman" w:eastAsia="Times New Roman" w:hAnsi="Times New Roman"/>
          <w:b/>
          <w:bCs/>
          <w:sz w:val="24"/>
          <w:szCs w:val="24"/>
        </w:rPr>
        <w:t xml:space="preserve">Benchmark: </w:t>
      </w:r>
      <w:r>
        <w:rPr>
          <w:rFonts w:ascii="Times New Roman" w:cs="Times New Roman" w:eastAsia="Times New Roman" w:hAnsi="Times New Roman"/>
          <w:sz w:val="24"/>
          <w:szCs w:val="24"/>
        </w:rPr>
        <w:t xml:space="preserve">the same model for large enterprises (250 or more persons employed), to compare the association by firm size.</w:t>
      </w:r>
    </w:p>
    <w:p>
      <w:pPr>
        <w:pStyle w:val="ListParagraph"/>
        <w:numPr>
          <w:ilvl w:val="0"/>
          <w:numId w:val="2"/>
        </w:numPr>
        <w:spacing w:after="80" w:line="276"/>
      </w:pPr>
      <w:r>
        <w:rPr>
          <w:rFonts w:ascii="Times New Roman" w:cs="Times New Roman" w:eastAsia="Times New Roman" w:hAnsi="Times New Roman"/>
          <w:b/>
          <w:bCs/>
          <w:sz w:val="24"/>
          <w:szCs w:val="24"/>
        </w:rPr>
        <w:t xml:space="preserve">Descriptive analysis: </w:t>
      </w:r>
      <w:r>
        <w:rPr>
          <w:rFonts w:ascii="Times New Roman" w:cs="Times New Roman" w:eastAsia="Times New Roman" w:hAnsi="Times New Roman"/>
          <w:sz w:val="24"/>
          <w:szCs w:val="24"/>
        </w:rPr>
        <w:t xml:space="preserve">AI adoption by size class and country, 2021-2025, and the gap between SMEs and large enterprises.</w:t>
      </w:r>
    </w:p>
    <w:p>
      <w:pPr>
        <w:pStyle w:val="ListParagraph"/>
        <w:numPr>
          <w:ilvl w:val="0"/>
          <w:numId w:val="2"/>
        </w:numPr>
        <w:spacing w:after="80" w:line="276"/>
      </w:pPr>
      <w:r>
        <w:rPr>
          <w:rFonts w:ascii="Times New Roman" w:cs="Times New Roman" w:eastAsia="Times New Roman" w:hAnsi="Times New Roman"/>
          <w:b/>
          <w:bCs/>
          <w:sz w:val="24"/>
          <w:szCs w:val="24"/>
        </w:rPr>
        <w:t xml:space="preserve">Robustness checks (fixed in advance): </w:t>
      </w:r>
      <w:r>
        <w:rPr>
          <w:rFonts w:ascii="Times New Roman" w:cs="Times New Roman" w:eastAsia="Times New Roman" w:hAnsi="Times New Roman"/>
          <w:sz w:val="24"/>
          <w:szCs w:val="24"/>
        </w:rPr>
        <w:t xml:space="preserve">(1) 2021 and 2023 only, without the carried-forward DII value; (2) excluding France and Sweden, which carry break-in-series flags in the AI and DII data.</w:t>
      </w:r>
    </w:p>
    <w:p>
      <w:pPr>
        <w:pStyle w:val="ListParagraph"/>
        <w:numPr>
          <w:ilvl w:val="0"/>
          <w:numId w:val="2"/>
        </w:numPr>
        <w:spacing w:after="80" w:line="276"/>
      </w:pPr>
      <w:r>
        <w:rPr>
          <w:rFonts w:ascii="Times New Roman" w:cs="Times New Roman" w:eastAsia="Times New Roman" w:hAnsi="Times New Roman"/>
          <w:b/>
          <w:bCs/>
          <w:sz w:val="24"/>
          <w:szCs w:val="24"/>
        </w:rPr>
        <w:t xml:space="preserve">Claim type: </w:t>
      </w:r>
      <w:r>
        <w:rPr>
          <w:rFonts w:ascii="Times New Roman" w:cs="Times New Roman" w:eastAsia="Times New Roman" w:hAnsi="Times New Roman"/>
          <w:sz w:val="24"/>
          <w:szCs w:val="24"/>
        </w:rPr>
        <w:t xml:space="preserve">association, not causation. Fixed effects remove stable differences between countries but do not rule out reverse causality or simultaneous changes. Results are reported as "AI adoption is associated with", never as "AI increases".</w:t>
      </w:r>
    </w:p>
    <w:p>
      <w:pPr>
        <w:pStyle w:val="ListParagraph"/>
        <w:numPr>
          <w:ilvl w:val="0"/>
          <w:numId w:val="2"/>
        </w:numPr>
        <w:spacing w:after="80" w:line="276"/>
      </w:pPr>
      <w:r>
        <w:rPr>
          <w:rFonts w:ascii="Times New Roman" w:cs="Times New Roman" w:eastAsia="Times New Roman" w:hAnsi="Times New Roman"/>
          <w:b/>
          <w:bCs/>
          <w:sz w:val="24"/>
          <w:szCs w:val="24"/>
        </w:rPr>
        <w:t xml:space="preserve">Expected limitation: </w:t>
      </w:r>
      <w:r>
        <w:rPr>
          <w:rFonts w:ascii="Times New Roman" w:cs="Times New Roman" w:eastAsia="Times New Roman" w:hAnsi="Times New Roman"/>
          <w:sz w:val="24"/>
          <w:szCs w:val="24"/>
        </w:rPr>
        <w:t xml:space="preserve">with three years per country, within-country variation is limited, so estimates may be imprecise. Results are reported as they are, whatever their direction or significance.</w:t>
      </w:r>
    </w:p>
    <w:p>
      <w:pPr>
        <w:pStyle w:val="Heading1"/>
        <w:spacing w:after="120" w:before="240"/>
      </w:pPr>
      <w:r>
        <w:rPr>
          <w:rFonts w:ascii="Times New Roman" w:cs="Times New Roman" w:eastAsia="Times New Roman" w:hAnsi="Times New Roman"/>
          <w:b/>
          <w:bCs/>
          <w:sz w:val="26"/>
          <w:szCs w:val="26"/>
        </w:rPr>
        <w:t xml:space="preserve">6. Out of scope</w:t>
      </w:r>
    </w:p>
    <w:p>
      <w:pPr>
        <w:pStyle w:val="ListParagraph"/>
        <w:numPr>
          <w:ilvl w:val="0"/>
          <w:numId w:val="2"/>
        </w:numPr>
        <w:spacing w:after="80" w:line="276"/>
      </w:pPr>
      <w:r>
        <w:rPr>
          <w:rFonts w:ascii="Times New Roman" w:cs="Times New Roman" w:eastAsia="Times New Roman" w:hAnsi="Times New Roman"/>
          <w:sz w:val="24"/>
          <w:szCs w:val="24"/>
        </w:rPr>
        <w:t xml:space="preserve">Micro enterprises (fewer than 10 persons employed)</w:t>
      </w:r>
    </w:p>
    <w:p>
      <w:pPr>
        <w:pStyle w:val="ListParagraph"/>
        <w:numPr>
          <w:ilvl w:val="0"/>
          <w:numId w:val="2"/>
        </w:numPr>
        <w:spacing w:after="80" w:line="276"/>
      </w:pPr>
      <w:r>
        <w:rPr>
          <w:rFonts w:ascii="Times New Roman" w:cs="Times New Roman" w:eastAsia="Times New Roman" w:hAnsi="Times New Roman"/>
          <w:sz w:val="24"/>
          <w:szCs w:val="24"/>
        </w:rPr>
        <w:t xml:space="preserve">The environmental dimension of sustainability</w:t>
      </w:r>
    </w:p>
    <w:p>
      <w:pPr>
        <w:pStyle w:val="ListParagraph"/>
        <w:numPr>
          <w:ilvl w:val="0"/>
          <w:numId w:val="2"/>
        </w:numPr>
        <w:spacing w:after="80" w:line="276"/>
      </w:pPr>
      <w:r>
        <w:rPr>
          <w:rFonts w:ascii="Times New Roman" w:cs="Times New Roman" w:eastAsia="Times New Roman" w:hAnsi="Times New Roman"/>
          <w:sz w:val="24"/>
          <w:szCs w:val="24"/>
        </w:rPr>
        <w:t xml:space="preserve">Causal effects of AI</w:t>
      </w:r>
    </w:p>
    <w:p>
      <w:pPr>
        <w:pStyle w:val="ListParagraph"/>
        <w:numPr>
          <w:ilvl w:val="0"/>
          <w:numId w:val="2"/>
        </w:numPr>
        <w:spacing w:after="80" w:line="276"/>
      </w:pPr>
      <w:r>
        <w:rPr>
          <w:rFonts w:ascii="Times New Roman" w:cs="Times New Roman" w:eastAsia="Times New Roman" w:hAnsi="Times New Roman"/>
          <w:sz w:val="24"/>
          <w:szCs w:val="24"/>
        </w:rPr>
        <w:t xml:space="preserve">Firm-level analysis (all data are country-level averages by size class)</w:t>
      </w:r>
    </w:p>
    <w:p>
      <w:pPr>
        <w:pStyle w:val="ListParagraph"/>
        <w:numPr>
          <w:ilvl w:val="0"/>
          <w:numId w:val="2"/>
        </w:numPr>
        <w:spacing w:after="80" w:line="276"/>
      </w:pPr>
      <w:r>
        <w:rPr>
          <w:rFonts w:ascii="Times New Roman" w:cs="Times New Roman" w:eastAsia="Times New Roman" w:hAnsi="Times New Roman"/>
          <w:sz w:val="24"/>
          <w:szCs w:val="24"/>
        </w:rPr>
        <w:t xml:space="preserve">Sector-by-sector analysis (AI data are available only for the total business economy)</w:t>
      </w:r>
    </w:p>
    <w:p>
      <w:pPr>
        <w:pStyle w:val="ListParagraph"/>
        <w:numPr>
          <w:ilvl w:val="0"/>
          <w:numId w:val="2"/>
        </w:numPr>
        <w:spacing w:after="80" w:line="276"/>
      </w:pPr>
      <w:r>
        <w:rPr>
          <w:rFonts w:ascii="Times New Roman" w:cs="Times New Roman" w:eastAsia="Times New Roman" w:hAnsi="Times New Roman"/>
          <w:sz w:val="24"/>
          <w:szCs w:val="24"/>
        </w:rPr>
        <w:t xml:space="preserve">Statistical analysis of Azerbaijan</w:t>
      </w:r>
    </w:p>
    <w:p>
      <w:pPr>
        <w:pStyle w:val="ListParagraph"/>
        <w:numPr>
          <w:ilvl w:val="0"/>
          <w:numId w:val="2"/>
        </w:numPr>
        <w:spacing w:after="80" w:line="276"/>
      </w:pPr>
      <w:r>
        <w:rPr>
          <w:rFonts w:ascii="Times New Roman" w:cs="Times New Roman" w:eastAsia="Times New Roman" w:hAnsi="Times New Roman"/>
          <w:sz w:val="24"/>
          <w:szCs w:val="24"/>
        </w:rPr>
        <w:t xml:space="preserve">Non-EU countries, including Türkiye and EU candidate countries</w:t>
      </w:r>
    </w:p>
    <w:p>
      <w:pPr>
        <w:pStyle w:val="Heading1"/>
        <w:spacing w:after="120" w:before="240"/>
      </w:pPr>
      <w:r>
        <w:rPr>
          <w:rFonts w:ascii="Times New Roman" w:cs="Times New Roman" w:eastAsia="Times New Roman" w:hAnsi="Times New Roman"/>
          <w:b/>
          <w:bCs/>
          <w:sz w:val="26"/>
          <w:szCs w:val="26"/>
        </w:rPr>
        <w:t xml:space="preserve">7. Data and records</w:t>
      </w:r>
    </w:p>
    <w:p>
      <w:pPr>
        <w:spacing w:after="120" w:line="276"/>
      </w:pPr>
      <w:r>
        <w:rPr>
          <w:rFonts w:ascii="Times New Roman" w:cs="Times New Roman" w:eastAsia="Times New Roman" w:hAnsi="Times New Roman"/>
          <w:sz w:val="24"/>
          <w:szCs w:val="24"/>
        </w:rPr>
        <w:t xml:space="preserve">Raw data: four Eurostat files in 03_data_raw (isoc_eb_ai, isoc_e_dii, sbs_sc_ovw, nama_10_gdp), downloaded 10 October 2026, never edited. Clean panel: 04_data_clean/panel_clean.csv, built by 05_analysis/01_clean_data.py. Download links, filters and every data decision are recorded in 01_protocol/Project_Log.xlsx.</w:t>
      </w:r>
    </w:p>
    <w:sectPr>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2026-10-09T20:47:48.847Z</dcterms:created>
  <dcterms:modified xsi:type="dcterms:W3CDTF">2026-10-09T20:47:48.854Z</dcterms:modified>
</cp:coreProperties>
</file>

<file path=docProps/custom.xml><?xml version="1.0" encoding="utf-8"?>
<Properties xmlns="http://schemas.openxmlformats.org/officeDocument/2006/custom-properties" xmlns:vt="http://schemas.openxmlformats.org/officeDocument/2006/docPropsVTypes"/>
</file>