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120"/>
        <w:jc w:val="center"/>
      </w:pPr>
      <w:r>
        <w:rPr>
          <w:rFonts w:ascii="Arial" w:cs="Arial" w:eastAsia="Arial" w:hAnsi="Arial"/>
          <w:b/>
          <w:bCs/>
          <w:color w:val="1B3A5C"/>
          <w:sz w:val="56"/>
          <w:szCs w:val="56"/>
        </w:rPr>
        <w:t xml:space="preserve">PREDICTIVE POVERTY TRACKER</w:t>
      </w:r>
    </w:p>
    <w:p>
      <w:pPr>
        <w:spacing w:after="80"/>
        <w:jc w:val="center"/>
      </w:pPr>
      <w:r>
        <w:rPr>
          <w:rFonts w:ascii="Arial" w:cs="Arial" w:eastAsia="Arial" w:hAnsi="Arial"/>
          <w:color w:val="2E75B6"/>
          <w:sz w:val="30"/>
          <w:szCs w:val="30"/>
        </w:rPr>
        <w:t xml:space="preserve">System Documentation &amp; Website Design Specification</w:t>
      </w:r>
    </w:p>
    <w:p>
      <w:pPr>
        <w:spacing w:after="400"/>
      </w:pPr>
    </w:p>
    <w:p>
      <w:pPr>
        <w:spacing w:after="60"/>
        <w:jc w:val="center"/>
      </w:pPr>
      <w:r>
        <w:rPr>
          <w:rFonts w:ascii="Arial" w:cs="Arial" w:eastAsia="Arial" w:hAnsi="Arial"/>
          <w:i/>
          <w:iCs/>
          <w:color w:val="333333"/>
          <w:sz w:val="24"/>
          <w:szCs w:val="24"/>
        </w:rPr>
        <w:t xml:space="preserve">A Comprehensive Reference for Data Analysts, Developers,</w:t>
      </w:r>
    </w:p>
    <w:p>
      <w:pPr>
        <w:spacing w:after="60"/>
        <w:jc w:val="center"/>
      </w:pPr>
      <w:r>
        <w:rPr>
          <w:rFonts w:ascii="Arial" w:cs="Arial" w:eastAsia="Arial" w:hAnsi="Arial"/>
          <w:i/>
          <w:iCs/>
          <w:color w:val="333333"/>
          <w:sz w:val="24"/>
          <w:szCs w:val="24"/>
        </w:rPr>
        <w:t xml:space="preserve">Policy Teams, and Community Stakeholders</w:t>
      </w:r>
    </w:p>
    <w:p>
      <w:pPr>
        <w:spacing w:after="800"/>
      </w:pPr>
    </w:p>
    <w:p>
      <w:pPr>
        <w:spacing w:after="60"/>
        <w:jc w:val="center"/>
      </w:pPr>
      <w:r>
        <w:rPr>
          <w:rFonts w:ascii="Arial" w:cs="Arial" w:eastAsia="Arial" w:hAnsi="Arial"/>
          <w:color w:val="888888"/>
          <w:sz w:val="22"/>
          <w:szCs w:val="22"/>
        </w:rPr>
        <w:t xml:space="preserve">Version 1.0  |  2025</w:t>
      </w:r>
    </w:p>
    <w:p>
      <w:r>
        <w:br w:type="page"/>
      </w:r>
    </w:p>
    <w:p>
      <w:pPr>
        <w:pStyle w:val="Heading1"/>
        <w:spacing w:after="200" w:before="360"/>
      </w:pPr>
      <w:r>
        <w:rPr>
          <w:rFonts w:ascii="Arial" w:cs="Arial" w:eastAsia="Arial" w:hAnsi="Arial"/>
          <w:b/>
          <w:bCs/>
          <w:color w:val="1B3A5C"/>
          <w:sz w:val="36"/>
          <w:szCs w:val="36"/>
        </w:rPr>
        <w:t xml:space="preserve">1. Executive Summary</w:t>
      </w:r>
    </w:p>
    <w:p>
      <w:pPr>
        <w:spacing w:after="120"/>
      </w:pPr>
      <w:r>
        <w:rPr>
          <w:rFonts w:ascii="Arial" w:cs="Arial" w:eastAsia="Arial" w:hAnsi="Arial"/>
          <w:color w:val="333333"/>
          <w:sz w:val="22"/>
          <w:szCs w:val="22"/>
        </w:rPr>
        <w:t xml:space="preserve">The Predictive Poverty Tracker is a multidimensional microeconomic intelligence system designed to identify and forecast neighborhood-level poverty trends before they crystallize into entrenched, long-term conditions. Unlike traditional poverty measurement tools — which rely on annual household surveys and deliver lagging snapshots of socioeconomic conditions — this framework aggregates real-time and near-real-time leading indicators that can predict poverty spikes with 60 to 90 days of advance notice.</w:t>
      </w:r>
    </w:p>
    <w:p>
      <w:pPr>
        <w:spacing w:after="120"/>
      </w:pPr>
    </w:p>
    <w:p>
      <w:pPr>
        <w:spacing w:after="120"/>
      </w:pPr>
      <w:r>
        <w:rPr>
          <w:rFonts w:ascii="Arial" w:cs="Arial" w:eastAsia="Arial" w:hAnsi="Arial"/>
          <w:color w:val="333333"/>
          <w:sz w:val="22"/>
          <w:szCs w:val="22"/>
        </w:rPr>
        <w:t xml:space="preserve">The system is built on a foundational insight: poverty does not appear suddenly. It is preceded by a predictable sequence of microeconomic stress signals — a surge in eviction filings, a spike in utility disconnection notices, a rise in payday loan inquiries, a decline in school attendance — each of which independently and collectively forecasts what official statistics will eventually confirm, months later.</w:t>
      </w:r>
    </w:p>
    <w:p>
      <w:pPr>
        <w:spacing w:after="120"/>
      </w:pPr>
    </w:p>
    <w:p>
      <w:pPr>
        <w:spacing w:after="120"/>
      </w:pPr>
      <w:r>
        <w:rPr>
          <w:rFonts w:ascii="Arial" w:cs="Arial" w:eastAsia="Arial" w:hAnsi="Arial"/>
          <w:color w:val="333333"/>
          <w:sz w:val="22"/>
          <w:szCs w:val="22"/>
        </w:rPr>
        <w:t xml:space="preserve">This document serves as the master reference for the Predictive Poverty Tracker system. It covers:</w:t>
      </w:r>
    </w:p>
    <w:p>
      <w:pPr>
        <w:pStyle w:val="ListParagraph"/>
        <w:numPr>
          <w:ilvl w:val="0"/>
          <w:numId w:val="2"/>
        </w:numPr>
        <w:spacing w:after="80"/>
      </w:pPr>
      <w:r>
        <w:rPr>
          <w:rFonts w:ascii="Arial" w:cs="Arial" w:eastAsia="Arial" w:hAnsi="Arial"/>
          <w:color w:val="333333"/>
          <w:sz w:val="22"/>
          <w:szCs w:val="22"/>
        </w:rPr>
        <w:t xml:space="preserve">The theoretical and methodological foundations of current poverty tracking</w:t>
      </w:r>
    </w:p>
    <w:p>
      <w:pPr>
        <w:pStyle w:val="ListParagraph"/>
        <w:numPr>
          <w:ilvl w:val="0"/>
          <w:numId w:val="2"/>
        </w:numPr>
        <w:spacing w:after="80"/>
      </w:pPr>
      <w:r>
        <w:rPr>
          <w:rFonts w:ascii="Arial" w:cs="Arial" w:eastAsia="Arial" w:hAnsi="Arial"/>
          <w:color w:val="333333"/>
          <w:sz w:val="22"/>
          <w:szCs w:val="22"/>
        </w:rPr>
        <w:t xml:space="preserve">A complete breakdown of all 48 tracked data points across 10 indicator categories</w:t>
      </w:r>
    </w:p>
    <w:p>
      <w:pPr>
        <w:pStyle w:val="ListParagraph"/>
        <w:numPr>
          <w:ilvl w:val="0"/>
          <w:numId w:val="2"/>
        </w:numPr>
        <w:spacing w:after="80"/>
      </w:pPr>
      <w:r>
        <w:rPr>
          <w:rFonts w:ascii="Arial" w:cs="Arial" w:eastAsia="Arial" w:hAnsi="Arial"/>
          <w:color w:val="333333"/>
          <w:sz w:val="22"/>
          <w:szCs w:val="22"/>
        </w:rPr>
        <w:t xml:space="preserve">The Excel workbook structure, all formulas, calculators, and the Composite Risk Index</w:t>
      </w:r>
    </w:p>
    <w:p>
      <w:pPr>
        <w:pStyle w:val="ListParagraph"/>
        <w:numPr>
          <w:ilvl w:val="0"/>
          <w:numId w:val="2"/>
        </w:numPr>
        <w:spacing w:after="80"/>
      </w:pPr>
      <w:r>
        <w:rPr>
          <w:rFonts w:ascii="Arial" w:cs="Arial" w:eastAsia="Arial" w:hAnsi="Arial"/>
          <w:color w:val="333333"/>
          <w:sz w:val="22"/>
          <w:szCs w:val="22"/>
        </w:rPr>
        <w:t xml:space="preserve">The full specification for converting the Excel workbook into a multi-user web platform</w:t>
      </w:r>
    </w:p>
    <w:p>
      <w:pPr>
        <w:pStyle w:val="ListParagraph"/>
        <w:numPr>
          <w:ilvl w:val="0"/>
          <w:numId w:val="2"/>
        </w:numPr>
        <w:spacing w:after="80"/>
      </w:pPr>
      <w:r>
        <w:rPr>
          <w:rFonts w:ascii="Arial" w:cs="Arial" w:eastAsia="Arial" w:hAnsi="Arial"/>
          <w:color w:val="333333"/>
          <w:sz w:val="22"/>
          <w:szCs w:val="22"/>
        </w:rPr>
        <w:t xml:space="preserve">Website architecture, page-by-page functionality, and user experience design</w:t>
      </w:r>
    </w:p>
    <w:p>
      <w:pPr>
        <w:pStyle w:val="ListParagraph"/>
        <w:numPr>
          <w:ilvl w:val="0"/>
          <w:numId w:val="2"/>
        </w:numPr>
        <w:spacing w:after="80"/>
      </w:pPr>
      <w:r>
        <w:rPr>
          <w:rFonts w:ascii="Arial" w:cs="Arial" w:eastAsia="Arial" w:hAnsi="Arial"/>
          <w:color w:val="333333"/>
          <w:sz w:val="22"/>
          <w:szCs w:val="22"/>
        </w:rPr>
        <w:t xml:space="preserve">Data governance, source integration strategies, and update protocols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r>
              <w:rPr>
                <w:rFonts w:ascii="Arial" w:cs="Arial" w:eastAsia="Arial" w:hAnsi="Arial"/>
                <w:i/>
                <w:iCs/>
                <w:color w:val="1B3A5C"/>
                <w:sz w:val="22"/>
                <w:szCs w:val="22"/>
              </w:rPr>
              <w:t xml:space="preserve">CORE MISSION: Provide policymakers, nonprofits, and community advocates with a surgical early-warning system that enables targeted, preventive intervention — before poverty becomes permanent.</w:t>
            </w:r>
          </w:p>
        </w:tc>
      </w:tr>
    </w:tbl>
    <w:p>
      <w:pPr>
        <w:spacing w:after="200"/>
      </w:pPr>
    </w:p>
    <w:p>
      <w:r>
        <w:br w:type="page"/>
      </w:r>
    </w:p>
    <w:p>
      <w:pPr>
        <w:pStyle w:val="Heading1"/>
        <w:spacing w:after="200" w:before="360"/>
      </w:pPr>
      <w:r>
        <w:rPr>
          <w:rFonts w:ascii="Arial" w:cs="Arial" w:eastAsia="Arial" w:hAnsi="Arial"/>
          <w:b/>
          <w:bCs/>
          <w:color w:val="1B3A5C"/>
          <w:sz w:val="36"/>
          <w:szCs w:val="36"/>
        </w:rPr>
        <w:t xml:space="preserve">2. Why Current Poverty Tracking Fails — and What We Do Differently</w:t>
      </w:r>
    </w:p>
    <w:p>
      <w:pPr>
        <w:pStyle w:val="Heading2"/>
        <w:pBdr>
          <w:bottom w:val="single" w:color="2E75B6" w:sz="4" w:space="4"/>
        </w:pBdr>
        <w:spacing w:after="160" w:before="300"/>
      </w:pPr>
      <w:r>
        <w:rPr>
          <w:rFonts w:ascii="Arial" w:cs="Arial" w:eastAsia="Arial" w:hAnsi="Arial"/>
          <w:b/>
          <w:bCs/>
          <w:color w:val="2E75B6"/>
          <w:sz w:val="28"/>
          <w:szCs w:val="28"/>
        </w:rPr>
        <w:t xml:space="preserve">2.1 The Problem with the Official Poverty Measure (OPM)</w:t>
      </w:r>
    </w:p>
    <w:p>
      <w:pPr>
        <w:spacing w:after="120"/>
      </w:pPr>
      <w:r>
        <w:rPr>
          <w:rFonts w:ascii="Arial" w:cs="Arial" w:eastAsia="Arial" w:hAnsi="Arial"/>
          <w:color w:val="333333"/>
          <w:sz w:val="22"/>
          <w:szCs w:val="22"/>
        </w:rPr>
        <w:t xml:space="preserve">The Official Poverty Measure (OPM), used by the federal government since 1963, is fundamentally inadequate for predictive purposes. It is based on three times the cost of the 1963 "Economy Food Plan," adjusted only for inflation. It counts only gross pre-tax cash income and ignores the government's own anti-poverty programs — SNAP, LIHEAP, the Earned Income Tax Credit, and housing vouchers all go unrecognized.</w:t>
      </w:r>
    </w:p>
    <w:p>
      <w:pPr>
        <w:spacing w:after="120"/>
      </w:pPr>
    </w:p>
    <w:p>
      <w:pPr>
        <w:spacing w:after="120"/>
      </w:pPr>
      <w:r>
        <w:rPr>
          <w:rFonts w:ascii="Arial" w:cs="Arial" w:eastAsia="Arial" w:hAnsi="Arial"/>
          <w:color w:val="333333"/>
          <w:sz w:val="22"/>
          <w:szCs w:val="22"/>
        </w:rPr>
        <w:t xml:space="preserve">Most critically for our purposes, the OPM is a lagging indicator. By the time a family appears in the OPM data as poor, they have likely been experiencing financial distress for 12 to 18 months. The data is published annually and reflects conditions from the prior calendar year, meaning policymakers are always reacting to a crisis that has already happened rather than preventing one that is forming.</w:t>
      </w:r>
    </w:p>
    <w:p>
      <w:pPr>
        <w:pStyle w:val="Heading2"/>
        <w:pBdr>
          <w:bottom w:val="single" w:color="2E75B6" w:sz="4" w:space="4"/>
        </w:pBdr>
        <w:spacing w:after="160" w:before="300"/>
      </w:pPr>
      <w:r>
        <w:rPr>
          <w:rFonts w:ascii="Arial" w:cs="Arial" w:eastAsia="Arial" w:hAnsi="Arial"/>
          <w:b/>
          <w:bCs/>
          <w:color w:val="2E75B6"/>
          <w:sz w:val="28"/>
          <w:szCs w:val="28"/>
        </w:rPr>
        <w:t xml:space="preserve">2.2 The Five Poverty Measurement Frameworks Compared</w:t>
      </w:r>
    </w:p>
    <w:p>
      <w:pPr>
        <w:spacing w:after="120"/>
      </w:pPr>
      <w:r>
        <w:rPr>
          <w:rFonts w:ascii="Arial" w:cs="Arial" w:eastAsia="Arial" w:hAnsi="Arial"/>
          <w:color w:val="333333"/>
          <w:sz w:val="22"/>
          <w:szCs w:val="22"/>
        </w:rPr>
        <w:t xml:space="preserve">The tracker evaluates five distinct measurement frameworks. Understanding their differences is essential for calibrating which data is used for what purpose.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 Logic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 Non-Cash Benefits?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Geographic Adjustment?</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Predictive Utility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Official Poverty Measure (OPM)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1963 Food Plan, inflation-adjusted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 ignores SNAP, EITC, housing vouchers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 national thresholds only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Lagging, misses policy impact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Supplemental Poverty Measure (SPM)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Food, Clothing, Shelter &amp; Utilities + 20% markup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full count of subsidies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 — cost-of-living adjusted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MODERATE — Retrospective (annual)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Anchored SPM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Historically fixed SPM threshold, inflation-adjusted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 Best for long-term trend tracking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Consumption-Based Measure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Actual household spending on goods &amp; services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Implicitly yes — all resources used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Partial (price deflators)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 — Best for identifying most disadvantaged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Multidimensional Poverty Index (MPI)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Composite: health, education, living standards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 — captures access, not transfers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 — adaptable by region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 Best for neighborhood qualitative profiling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60"/>
              <w:left w:type="dxa" w:w="200"/>
              <w:bottom w:type="dxa" w:w="160"/>
              <w:right w:type="dxa" w:w="200"/>
            </w:tcMar>
          </w:tcPr>
          <w:p>
            <w:r>
              <w:rPr>
                <w:rFonts w:ascii="Arial" w:cs="Arial" w:eastAsia="Arial" w:hAnsi="Arial"/>
                <w:i/>
                <w:iCs/>
                <w:color w:val="7D4000"/>
                <w:sz w:val="22"/>
                <w:szCs w:val="22"/>
              </w:rPr>
              <w:t xml:space="preserve">KEY INSIGHT: The OPM showed poverty was flat since the 1960s. The Anchored SPM shows a 40% decline — meaning government policy dramatically reduced poverty, but the OPM is completely blind to it. For predictive tracking, lead with SPM + consumption-based + microeconomic stress indicators.</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2.3 Our Approach: Microeconomic Leading Indicators</w:t>
      </w:r>
    </w:p>
    <w:p>
      <w:pPr>
        <w:spacing w:after="120"/>
      </w:pPr>
      <w:r>
        <w:rPr>
          <w:rFonts w:ascii="Arial" w:cs="Arial" w:eastAsia="Arial" w:hAnsi="Arial"/>
          <w:color w:val="333333"/>
          <w:sz w:val="22"/>
          <w:szCs w:val="22"/>
        </w:rPr>
        <w:t xml:space="preserve">The Predictive Poverty Tracker bypasses the limitations of macro poverty measures by tracking microeconomic stress signals at the neighborhood (census tract and ZIP code) level. These signals — eviction filings, utility shutoff notices, payday loan inquiry volume, school meal program enrollment changes — move ahead of poverty, not behind it. They give 30 to 90 days of advance warning before household financial collapse becomes visible in official statistics.</w:t>
      </w:r>
    </w:p>
    <w:p>
      <w:pPr>
        <w:spacing w:after="120"/>
      </w:pPr>
    </w:p>
    <w:p>
      <w:pPr>
        <w:spacing w:after="120"/>
      </w:pPr>
      <w:r>
        <w:rPr>
          <w:rFonts w:ascii="Arial" w:cs="Arial" w:eastAsia="Arial" w:hAnsi="Arial"/>
          <w:color w:val="333333"/>
          <w:sz w:val="22"/>
          <w:szCs w:val="22"/>
        </w:rPr>
        <w:t xml:space="preserve">The framework organizes these signals into a four-layer architecture that distinguishes early-warning indicators, community-drain indicators, structural mobility barriers, and the analytical engine that combines them into a single actionable score.</w:t>
      </w:r>
    </w:p>
    <w:p>
      <w:r>
        <w:br w:type="page"/>
      </w:r>
    </w:p>
    <w:p>
      <w:pPr>
        <w:pStyle w:val="Heading1"/>
        <w:spacing w:after="200" w:before="360"/>
      </w:pPr>
      <w:r>
        <w:rPr>
          <w:rFonts w:ascii="Arial" w:cs="Arial" w:eastAsia="Arial" w:hAnsi="Arial"/>
          <w:b/>
          <w:bCs/>
          <w:color w:val="1B3A5C"/>
          <w:sz w:val="36"/>
          <w:szCs w:val="36"/>
        </w:rPr>
        <w:t xml:space="preserve">3. The Four-Layer Tracking Architecture</w:t>
      </w:r>
    </w:p>
    <w:p>
      <w:pPr>
        <w:spacing w:after="120"/>
      </w:pPr>
      <w:r>
        <w:rPr>
          <w:rFonts w:ascii="Arial" w:cs="Arial" w:eastAsia="Arial" w:hAnsi="Arial"/>
          <w:color w:val="333333"/>
          <w:sz w:val="22"/>
          <w:szCs w:val="22"/>
        </w:rPr>
        <w:t xml:space="preserve">Every data point in the tracker is assigned to one of four strategic layers. Each layer serves a distinct analytical purpose and triggers different types of policy responses.</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Layer 1: Early Warning (60–90 Day Lead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00"/>
              <w:bottom w:type="dxa" w:w="160"/>
              <w:right w:type="dxa" w:w="200"/>
            </w:tcMar>
          </w:tcPr>
          <w:p>
            <w:r>
              <w:rPr>
                <w:rFonts w:ascii="Arial" w:cs="Arial" w:eastAsia="Arial" w:hAnsi="Arial"/>
                <w:i/>
                <w:iCs/>
                <w:color w:val="0E4D2E"/>
                <w:sz w:val="22"/>
                <w:szCs w:val="22"/>
              </w:rPr>
              <w:t xml:space="preserve">Purpose: Detect household transitions from stable to at-risk before formal poverty measurement catches them.</w:t>
            </w:r>
          </w:p>
        </w:tc>
      </w:tr>
    </w:tbl>
    <w:p>
      <w:pPr>
        <w:spacing w:after="160"/>
      </w:pPr>
    </w:p>
    <w:p>
      <w:pPr>
        <w:spacing w:after="120"/>
      </w:pPr>
      <w:r>
        <w:rPr>
          <w:rFonts w:ascii="Arial" w:cs="Arial" w:eastAsia="Arial" w:hAnsi="Arial"/>
          <w:color w:val="333333"/>
          <w:sz w:val="22"/>
          <w:szCs w:val="22"/>
        </w:rPr>
        <w:t xml:space="preserve">Early warning indicators are leading signals — they move ahead of poverty conditions by weeks or months. They represent the first moment at which financial distress becomes externally visible: a landlord filing for eviction, a utility company issuing a final shutoff notice, a spike in emergency food program enrollment. These are the system's highest-priority alerts.</w:t>
      </w:r>
    </w:p>
    <w:p>
      <w:pPr>
        <w:spacing w:after="120"/>
      </w:pPr>
    </w:p>
    <w:p>
      <w:pPr>
        <w:spacing w:after="120"/>
      </w:pPr>
      <w:r>
        <w:rPr>
          <w:rFonts w:ascii="Arial" w:cs="Arial" w:eastAsia="Arial" w:hAnsi="Arial"/>
          <w:color w:val="333333"/>
          <w:sz w:val="22"/>
          <w:szCs w:val="22"/>
        </w:rPr>
        <w:t xml:space="preserve">Key data points in this layer include: Eviction Filing Rate (H1), Final Disconnection Notice Volume (E1), SNAP Caseload Change Rate (N1), and Medicaid/CHIP Enrollment Change (P2). When any of these signals spike above threshold in a given census tract, the system flags the area for immediate outreach and resource pre-positioning.</w:t>
      </w:r>
    </w:p>
    <w:p>
      <w:pPr>
        <w:spacing w:after="120"/>
      </w:pPr>
    </w:p>
    <w:p>
      <w:pPr>
        <w:spacing w:after="120"/>
      </w:pPr>
      <w:r>
        <w:rPr>
          <w:rFonts w:ascii="Arial" w:cs="Arial" w:eastAsia="Arial" w:hAnsi="Arial"/>
          <w:color w:val="333333"/>
          <w:sz w:val="22"/>
          <w:szCs w:val="22"/>
        </w:rPr>
        <w:t xml:space="preserve">Recommended action trigger: Increase case management outreach; pre-position emergency rental assistance funds; alert local nonprofit partners.</w:t>
      </w:r>
    </w:p>
    <w:p>
      <w:pPr>
        <w:pStyle w:val="Heading2"/>
        <w:pBdr>
          <w:bottom w:val="single" w:color="2E75B6" w:sz="4" w:space="4"/>
        </w:pBdr>
        <w:spacing w:after="160" w:before="300"/>
      </w:pPr>
      <w:r>
        <w:rPr>
          <w:rFonts w:ascii="Arial" w:cs="Arial" w:eastAsia="Arial" w:hAnsi="Arial"/>
          <w:b/>
          <w:bCs/>
          <w:color w:val="2E75B6"/>
          <w:sz w:val="28"/>
          <w:szCs w:val="28"/>
        </w:rPr>
        <w:t xml:space="preserve">Layer 2: Community Drain (Friction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60"/>
              <w:left w:type="dxa" w:w="200"/>
              <w:bottom w:type="dxa" w:w="160"/>
              <w:right w:type="dxa" w:w="200"/>
            </w:tcMar>
          </w:tcPr>
          <w:p>
            <w:r>
              <w:rPr>
                <w:rFonts w:ascii="Arial" w:cs="Arial" w:eastAsia="Arial" w:hAnsi="Arial"/>
                <w:i/>
                <w:iCs/>
                <w:color w:val="7D4000"/>
                <w:sz w:val="22"/>
                <w:szCs w:val="22"/>
              </w:rPr>
              <w:t xml:space="preserve">Purpose: Identify neighborhoods where predatory financial instruments are extracting purchasing power from residents.</w:t>
            </w:r>
          </w:p>
        </w:tc>
      </w:tr>
    </w:tbl>
    <w:p>
      <w:pPr>
        <w:spacing w:after="160"/>
      </w:pPr>
    </w:p>
    <w:p>
      <w:pPr>
        <w:spacing w:after="120"/>
      </w:pPr>
      <w:r>
        <w:rPr>
          <w:rFonts w:ascii="Arial" w:cs="Arial" w:eastAsia="Arial" w:hAnsi="Arial"/>
          <w:color w:val="333333"/>
          <w:sz w:val="22"/>
          <w:szCs w:val="22"/>
        </w:rPr>
        <w:t xml:space="preserve">Community drain indicators measure the degree to which a neighborhood's economic energy is being siphoned away through high-cost financial products, debt servicing, and the absence of mainstream financial institutions. Payday lenders cluster in high-poverty areas, creating a feedback loop that deepens financial exclusion. A high payday loan inquiry volume (F2) predicts formal eviction spikes 12 to 24 months later — making it one of the longest-lead indicators in the entire framework.</w:t>
      </w:r>
    </w:p>
    <w:p>
      <w:pPr>
        <w:spacing w:after="120"/>
      </w:pPr>
    </w:p>
    <w:p>
      <w:pPr>
        <w:spacing w:after="120"/>
      </w:pPr>
      <w:r>
        <w:rPr>
          <w:rFonts w:ascii="Arial" w:cs="Arial" w:eastAsia="Arial" w:hAnsi="Arial"/>
          <w:color w:val="333333"/>
          <w:sz w:val="22"/>
          <w:szCs w:val="22"/>
        </w:rPr>
        <w:t xml:space="preserve">Key data points: Payday Lender Storefront Density (F1), Payday Loan Inquiry Volume (F2), Neighborhood Average Credit Score (F3), Debt-in-Collections Rate (F4), Bank Branch Density (F5), Subprime Credit Share (F6).</w:t>
      </w:r>
    </w:p>
    <w:p>
      <w:pPr>
        <w:spacing w:after="120"/>
      </w:pPr>
    </w:p>
    <w:p>
      <w:pPr>
        <w:spacing w:after="120"/>
      </w:pPr>
      <w:r>
        <w:rPr>
          <w:rFonts w:ascii="Arial" w:cs="Arial" w:eastAsia="Arial" w:hAnsi="Arial"/>
          <w:color w:val="333333"/>
          <w:sz w:val="22"/>
          <w:szCs w:val="22"/>
        </w:rPr>
        <w:t xml:space="preserve">Recommended action trigger: Enforce local payday lending ordinances; expand CDFI (Community Development Financial Institution) presence; launch financial counseling and credit-building programs.</w:t>
      </w:r>
    </w:p>
    <w:p>
      <w:pPr>
        <w:pStyle w:val="Heading2"/>
        <w:pBdr>
          <w:bottom w:val="single" w:color="2E75B6" w:sz="4" w:space="4"/>
        </w:pBdr>
        <w:spacing w:after="160" w:before="300"/>
      </w:pPr>
      <w:r>
        <w:rPr>
          <w:rFonts w:ascii="Arial" w:cs="Arial" w:eastAsia="Arial" w:hAnsi="Arial"/>
          <w:b/>
          <w:bCs/>
          <w:color w:val="2E75B6"/>
          <w:sz w:val="28"/>
          <w:szCs w:val="28"/>
        </w:rPr>
        <w:t xml:space="preserve">Layer 3: Mobility Barriers (Rebound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r>
              <w:rPr>
                <w:rFonts w:ascii="Arial" w:cs="Arial" w:eastAsia="Arial" w:hAnsi="Arial"/>
                <w:i/>
                <w:iCs/>
                <w:color w:val="1B3A5C"/>
                <w:sz w:val="22"/>
                <w:szCs w:val="22"/>
              </w:rPr>
              <w:t xml:space="preserve">Purpose: Measure a neighborhood's structural capacity to recover from economic shocks — the difference between temporary hardship and generational poverty.</w:t>
            </w:r>
          </w:p>
        </w:tc>
      </w:tr>
    </w:tbl>
    <w:p>
      <w:pPr>
        <w:spacing w:after="160"/>
      </w:pPr>
    </w:p>
    <w:p>
      <w:pPr>
        <w:spacing w:after="120"/>
      </w:pPr>
      <w:r>
        <w:rPr>
          <w:rFonts w:ascii="Arial" w:cs="Arial" w:eastAsia="Arial" w:hAnsi="Arial"/>
          <w:color w:val="333333"/>
          <w:sz w:val="22"/>
          <w:szCs w:val="22"/>
        </w:rPr>
        <w:t xml:space="preserve">Mobility barriers are structural conditions that determine whether poverty, once it arrives, becomes permanent. A neighborhood with low broadband access, low intergenerational mobility scores, and weak economic connectedness has limited capacity to absorb shocks and help residents climb out. These indicators change slowly — sometimes over generations — but they set the ceiling for recovery.</w:t>
      </w:r>
    </w:p>
    <w:p>
      <w:pPr>
        <w:spacing w:after="120"/>
      </w:pPr>
    </w:p>
    <w:p>
      <w:pPr>
        <w:spacing w:after="120"/>
      </w:pPr>
      <w:r>
        <w:rPr>
          <w:rFonts w:ascii="Arial" w:cs="Arial" w:eastAsia="Arial" w:hAnsi="Arial"/>
          <w:color w:val="333333"/>
          <w:sz w:val="22"/>
          <w:szCs w:val="22"/>
        </w:rPr>
        <w:t xml:space="preserve">Key data points: Broadband Subscription Rate (D1), Intergenerational Income Mobility Rank (M2), High School Graduation Rate (M1), Economic Connectedness Index (S1), Chronic Absenteeism Rate (M3), Gig Economy Participation Rate (L4).</w:t>
      </w:r>
    </w:p>
    <w:p>
      <w:pPr>
        <w:spacing w:after="120"/>
      </w:pPr>
    </w:p>
    <w:p>
      <w:pPr>
        <w:spacing w:after="120"/>
      </w:pPr>
      <w:r>
        <w:rPr>
          <w:rFonts w:ascii="Arial" w:cs="Arial" w:eastAsia="Arial" w:hAnsi="Arial"/>
          <w:color w:val="333333"/>
          <w:sz w:val="22"/>
          <w:szCs w:val="22"/>
        </w:rPr>
        <w:t xml:space="preserve">Recommended action trigger: Targeted infrastructure investment in broadband and transit; school-based stability interventions; social bridge programs to increase economic cross-class connection.</w:t>
      </w:r>
    </w:p>
    <w:p>
      <w:pPr>
        <w:pStyle w:val="Heading2"/>
        <w:pBdr>
          <w:bottom w:val="single" w:color="2E75B6" w:sz="4" w:space="4"/>
        </w:pBdr>
        <w:spacing w:after="160" w:before="300"/>
      </w:pPr>
      <w:r>
        <w:rPr>
          <w:rFonts w:ascii="Arial" w:cs="Arial" w:eastAsia="Arial" w:hAnsi="Arial"/>
          <w:b/>
          <w:bCs/>
          <w:color w:val="2E75B6"/>
          <w:sz w:val="28"/>
          <w:szCs w:val="28"/>
        </w:rPr>
        <w:t xml:space="preserve">Layer 4: Analytics Engine (Bayesian Spatiotemporal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r>
              <w:rPr>
                <w:rFonts w:ascii="Arial" w:cs="Arial" w:eastAsia="Arial" w:hAnsi="Arial"/>
                <w:i/>
                <w:iCs/>
                <w:color w:val="333333"/>
                <w:sz w:val="22"/>
                <w:szCs w:val="22"/>
              </w:rPr>
              <w:t xml:space="preserve">Purpose: Combine all layers into a single, continuously updating Composite Risk Index for each tracked neighborhood.</w:t>
            </w:r>
          </w:p>
        </w:tc>
      </w:tr>
    </w:tbl>
    <w:p>
      <w:pPr>
        <w:spacing w:after="160"/>
      </w:pPr>
    </w:p>
    <w:p>
      <w:pPr>
        <w:spacing w:after="120"/>
      </w:pPr>
      <w:r>
        <w:rPr>
          <w:rFonts w:ascii="Arial" w:cs="Arial" w:eastAsia="Arial" w:hAnsi="Arial"/>
          <w:color w:val="333333"/>
          <w:sz w:val="22"/>
          <w:szCs w:val="22"/>
        </w:rPr>
        <w:t xml:space="preserve">The analytics engine is the mathematical core of the system. It takes the input data from Layers 1, 2, and 3 and runs them through a weighted composite scoring model that produces the Neighborhood Poverty Risk Index — a 0 to 100 score that captures overall poverty risk. The full model specification calls for a Bayesian Spatiotemporal Conditionally Autoregressive (CAR) model that borrows statistical strength across adjacent census tracts, smooths seasonal noise, and quantifies uncertainty in the prediction.</w:t>
      </w:r>
    </w:p>
    <w:p>
      <w:pPr>
        <w:spacing w:after="120"/>
      </w:pPr>
    </w:p>
    <w:p>
      <w:pPr>
        <w:spacing w:after="120"/>
      </w:pPr>
      <w:r>
        <w:rPr>
          <w:rFonts w:ascii="Arial" w:cs="Arial" w:eastAsia="Arial" w:hAnsi="Arial"/>
          <w:color w:val="333333"/>
          <w:sz w:val="22"/>
          <w:szCs w:val="22"/>
        </w:rPr>
        <w:t xml:space="preserve">Recommended action trigger: Automatically flag tracts where the score crosses risk-tier thresholds; adjust alert thresholds seasonally (winter energy stress is expected; summer spikes in school-related indicators signal systemic issues).</w:t>
      </w:r>
    </w:p>
    <w:p>
      <w:r>
        <w:br w:type="page"/>
      </w:r>
    </w:p>
    <w:p>
      <w:pPr>
        <w:pStyle w:val="Heading1"/>
        <w:spacing w:after="200" w:before="360"/>
      </w:pPr>
      <w:r>
        <w:rPr>
          <w:rFonts w:ascii="Arial" w:cs="Arial" w:eastAsia="Arial" w:hAnsi="Arial"/>
          <w:b/>
          <w:bCs/>
          <w:color w:val="1B3A5C"/>
          <w:sz w:val="36"/>
          <w:szCs w:val="36"/>
        </w:rPr>
        <w:t xml:space="preserve">4. The 48 Data Points — Complete Registry</w:t>
      </w:r>
    </w:p>
    <w:p>
      <w:pPr>
        <w:spacing w:after="120"/>
      </w:pPr>
      <w:r>
        <w:rPr>
          <w:rFonts w:ascii="Arial" w:cs="Arial" w:eastAsia="Arial" w:hAnsi="Arial"/>
          <w:color w:val="333333"/>
          <w:sz w:val="22"/>
          <w:szCs w:val="22"/>
        </w:rPr>
        <w:t xml:space="preserve">The tracker monitors 48 individually defined data points across 10 thematic categories. Each data point is assigned a signal type (Leading, Concurrent, Lagging, or Structural), a primary data source, a geographic resolution level, an update frequency, and a priority score from 1 to 5.</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4.1 Signal 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Type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Precedes poverty outcomes by weeks or months. Highest predictive value. Act on these first.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Moves in real-time with poverty conditions. Use for current state assessment.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LAGGING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Confirms poverty after it has occurred. Use for outcome measurement and program evaluation.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STRUCTURAL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Slow-changing background conditions. Determines neighborhood vulnerability ceiling.</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4.2 Priority Score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7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 CRITICAL</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leading indicator; highest signal-to-noise ratio. Include in all model versions.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 — HIGH</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Strong predictor; include in full models and quarterly monitoring.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 MODERATE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Useful supplementary signal; include in annual reviews and deep dives.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 SUPPLEMENTARY</w:t>
            </w:r>
          </w:p>
        </w:tc>
        <w:tc>
          <w:tcPr>
            <w:tcW w:type="dxa" w:w="7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Contextual value; include in comprehensive analyses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 EXPLORATORY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Experimental or emerging indicator; monitor for future inclusion.</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4.3 Category 1: Housing Instability (H1–H7)</w:t>
      </w:r>
    </w:p>
    <w:p>
      <w:pPr>
        <w:spacing w:after="120"/>
      </w:pPr>
      <w:r>
        <w:rPr>
          <w:rFonts w:ascii="Arial" w:cs="Arial" w:eastAsia="Arial" w:hAnsi="Arial"/>
          <w:color w:val="333333"/>
          <w:sz w:val="22"/>
          <w:szCs w:val="22"/>
        </w:rPr>
        <w:t xml:space="preserve">Housing instability indicators are the most immediate and actionable signals of poverty onset. Eviction filings in particular are the single most powerful leading indicator in the framework — they appear weeks before household financial collapse becomes visible through any other channel.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400"/>
        <w:gridCol w:w="1100"/>
        <w:gridCol w:w="1600"/>
        <w:gridCol w:w="760"/>
        <w:gridCol w:w="8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 Level</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Eviction Filing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Cases filed per 100 renter HHs; high rates signal broad economic pressure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Eviction Lab / Local Judiciary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Serial Eviction Filings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Count of landlords repeatedly filing against same tenant; signals extractive management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Eviction Lab</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 Rent Threshold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Average $ owed at filing; cases under $1,000 signal lack of emergency liquidity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Court Records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ZIP Code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Corporate Owner Tax Delinquency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of corporate-owned rentals with delinquent property taxes; predicts social cohesion breakdown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County Tax Records</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Neighborhood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Shelter Application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Applications for emergency shelter per 1,000 residents; lagging signal of household collapse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Lagging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HUD CoC Data</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City/County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Vacancy Rate (Distressed)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of housing units vacant 90+ days in low-income tracts; measures disinvestment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 Census ACS</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Rent-Burden Rate (&gt;50%)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households spending over 50% of income on rent; severely cost-burdened households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ACS / HUD</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4.4 Category 2: Energy Insecurity (E1–E5)</w:t>
      </w:r>
    </w:p>
    <w:p>
      <w:pPr>
        <w:spacing w:after="120"/>
      </w:pPr>
      <w:r>
        <w:rPr>
          <w:rFonts w:ascii="Arial" w:cs="Arial" w:eastAsia="Arial" w:hAnsi="Arial"/>
          <w:color w:val="333333"/>
          <w:sz w:val="22"/>
          <w:szCs w:val="22"/>
        </w:rPr>
        <w:t xml:space="preserve">Energy insecurity is among the most real-time and accessible data streams available. Utility companies generate daily data on disconnection notices and actual shutoffs. When families start receiving final disconnection notices, they are typically one to two paychecks away from a full housing crisis.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1000"/>
        <w:gridCol w:w="1660"/>
        <w:gridCol w:w="600"/>
        <w:gridCol w:w="8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Final Disconnection Notice Volume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Households receiving utility shutoff warnings; leading real-time stress indicator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 Providers / DOER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Utility Disconnection Rate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losing electricity/gas/water; lagging indicator of absolute insolvency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Lagging</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Utility Providers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 Arrearages (Avg $ Owed)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unpaid utility debt per household; $100+ signals proximity to shutoff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 Providers / NYC Poverty Tracker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Thermal Discomfort Rate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households keeping home at unhealthy temperatures to save costs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EIA RECS Survey / Local Surveys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MSA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LIHEAP Application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Applications to Low Income Home Energy Assistance per 1,000 HHs; proxy for energy poverty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HHS/LIHEAP</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4.5 Category 3: Financial Predation (F1–F6)</w:t>
      </w:r>
    </w:p>
    <w:p>
      <w:pPr>
        <w:spacing w:after="120"/>
      </w:pPr>
      <w:r>
        <w:rPr>
          <w:rFonts w:ascii="Arial" w:cs="Arial" w:eastAsia="Arial" w:hAnsi="Arial"/>
          <w:color w:val="333333"/>
          <w:sz w:val="22"/>
          <w:szCs w:val="22"/>
        </w:rPr>
        <w:t xml:space="preserve">Financial predation indicators track the degree to which predatory financial services have penetrated a neighborhood. Payday loan inquiry volume (F2) is particularly powerful: it shows a 12 to 24 month lead time before eviction spikes, making it the longest-lead indicator in the entire framework.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1000"/>
        <w:gridCol w:w="1700"/>
        <w:gridCol w:w="560"/>
        <w:gridCol w:w="8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Payday Lender Density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Storefronts per sq mile; cluster in high-poverty, low-bank-branch areas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CFPB / Local License Records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Payday Loan Inquiry Volume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Real-time count of payday credit inquiries; spikes 1–2 years before eviction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CFPB / FinTech APIs</w:t>
            </w:r>
          </w:p>
        </w:tc>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Neighborhood Average Credit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Mean credit score; proxy for access to mainstream financial markets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 Bureaus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Debt-in-Collections 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residents with bills sent to third-party collectors; cascading financial failure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CFPB / Urban Institute</w:t>
            </w:r>
          </w:p>
        </w:tc>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Bank Branch Density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FDIC-insured branches per 10,000 residents; low density predicts payday influx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FDIC Summary of Deposits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Subprime Credit Share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of local credit accounts below 620 score; depth of credit exclusion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CFPB Consumer Credit Panel</w:t>
            </w:r>
          </w:p>
        </w:tc>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4.6 Category 4: Digital Poverty (D1–D4)</w:t>
      </w:r>
    </w:p>
    <w:p>
      <w:pPr>
        <w:spacing w:after="120"/>
      </w:pPr>
      <w:r>
        <w:rPr>
          <w:rFonts w:ascii="Arial" w:cs="Arial" w:eastAsia="Arial" w:hAnsi="Arial"/>
          <w:color w:val="333333"/>
          <w:sz w:val="22"/>
          <w:szCs w:val="22"/>
        </w:rPr>
        <w:t xml:space="preserve">Digital poverty is an increasingly critical mobility barrier. Households without reliable broadband access face longer re-employment times, reduced access to telehealth and remote education, and inability to access digital-only government services. Smartphone-only internet access creates an additional tier of disadvantage.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400"/>
        <w:gridCol w:w="1000"/>
        <w:gridCol w:w="1500"/>
        <w:gridCol w:w="460"/>
        <w:gridCol w:w="8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Broadband Subscription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HHs with fixed high-speed internet; lower rates = longer re-employment 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FCC / ACS</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Smartphone-Only Internet Dependency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HHs accessing internet only via phone; limits educational and professional outcomes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ACS / Pew Research</w:t>
            </w:r>
          </w:p>
        </w:tc>
        <w:tc>
          <w:tcPr>
            <w:tcW w:type="dxa" w:w="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MDLS Deficit 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Minimum Digital Living Standard deficit: composite hardware/software/skills gaps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Surveys / ACS Proxy</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Library Internet Use Rate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Visits per capita to library internet terminals; proxy for home connectivity deprivation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IMLS Public Library Survey</w:t>
            </w:r>
          </w:p>
        </w:tc>
        <w:tc>
          <w:tcPr>
            <w:tcW w:type="dxa" w:w="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4.7 Category 5: Labor &amp; Income (L1–L6)</w:t>
      </w:r>
    </w:p>
    <w:p>
      <w:pPr>
        <w:spacing w:after="120"/>
      </w:pPr>
      <w:r>
        <w:rPr>
          <w:rFonts w:ascii="Arial" w:cs="Arial" w:eastAsia="Arial" w:hAnsi="Arial"/>
          <w:color w:val="333333"/>
          <w:sz w:val="22"/>
          <w:szCs w:val="22"/>
        </w:rPr>
        <w:t xml:space="preserve">Labor market conditions form the economic backbone of the framework. The Wage Growth vs. Inflation Spread (L3) is a critical leading indicator: when local wages are growing slower than local prices, real purchasing power is falling even for employed households, creating a slow-motion poverty tide that official unemployment figures will never capture.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1000"/>
        <w:gridCol w:w="1500"/>
        <w:gridCol w:w="560"/>
        <w:gridCol w:w="8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Neighborhood Unemployment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labor force actively unemployed in defined tract; broader than official U-3 rate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BLS LAUS / ACS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Labor Force Participation Rate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working-age population employed or seeking work; captures discouraged workers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BLS / ACS</w:t>
            </w:r>
          </w:p>
        </w:tc>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County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Wage Growth vs. Inflation Spread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median wage growth minus local CPI change; negative = real earnings decline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BLS OES / BLS CPI</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MSA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Gig Economy Participation Rate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workers in platform/gig jobs without benefits; proxy for income instability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ACS / JPMorgan Chase Research</w:t>
            </w:r>
          </w:p>
        </w:tc>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Median Household Income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 midpoint income for households; baseline socioeconomic level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Benefits Cliff Incidence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HHs near income thresholds where a raise reduces net benefits; traps mobility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CLIFF Tool / Urban Institute</w:t>
            </w:r>
          </w:p>
        </w:tc>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State/County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4.8 Category 6: Food &amp; Health (N1–N6)</w:t>
      </w:r>
    </w:p>
    <w:p>
      <w:pPr>
        <w:spacing w:after="120"/>
      </w:pPr>
      <w:r>
        <w:rPr>
          <w:rFonts w:ascii="Arial" w:cs="Arial" w:eastAsia="Arial" w:hAnsi="Arial"/>
          <w:color w:val="333333"/>
          <w:sz w:val="22"/>
          <w:szCs w:val="22"/>
        </w:rPr>
        <w:t xml:space="preserve">SNAP caseload changes (N1) and food pantry demand surges (N3) are among the most responsive real-time signals of household stress available at the local level. The Free and Reduced Lunch rate (N2) is a uniquely stable proxy for child poverty — it updates annually at the school district level and is less subject to the administrative noise that affects other benefit program data.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300"/>
        <w:gridCol w:w="1000"/>
        <w:gridCol w:w="1600"/>
        <w:gridCol w:w="460"/>
        <w:gridCol w:w="8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 Caseload Change Rate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Month-over-month % change in SNAP enrollment; real-time proxy for food insecurity spikes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USDA FNS</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Free &amp; Reduced Lunch Rate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school students certified for FRL; stable proxy for child poverty level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NCES / Dept of Education</w:t>
            </w:r>
          </w:p>
        </w:tc>
        <w:tc>
          <w:tcPr>
            <w:tcW w:type="dxa" w:w="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School District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Food Pantry Demand Surge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change in food pantry visits vs. prior period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Feeding America / Local Banks</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Child Food Insecurity Rate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of children in food-insecure households as modeled by Map the Meal Gap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Feeding America</w:t>
            </w:r>
          </w:p>
        </w:tc>
        <w:tc>
          <w:tcPr>
            <w:tcW w:type="dxa" w:w="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County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Preventable ER Visit Rate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 of ER visits for conditions treatable by primary care; signals healthcare deprivation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HCUP / State Health Depts</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Uninsured Rate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without health insurance; strongly correlated with medical debt vulnerability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ACS / KFF</w:t>
            </w:r>
          </w:p>
        </w:tc>
        <w:tc>
          <w:tcPr>
            <w:tcW w:type="dxa" w:w="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County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4.9 Category 7: Education &amp; Mobility (M1–M4)</w:t>
      </w:r>
    </w:p>
    <w:p>
      <w:pPr>
        <w:spacing w:after="120"/>
      </w:pPr>
      <w:r>
        <w:rPr>
          <w:rFonts w:ascii="Arial" w:cs="Arial" w:eastAsia="Arial" w:hAnsi="Arial"/>
          <w:color w:val="333333"/>
          <w:sz w:val="22"/>
          <w:szCs w:val="22"/>
        </w:rPr>
        <w:t xml:space="preserve">Education indicators are the system's longest-leading signals — high school graduation rates and intergenerational mobility scores reflect conditions that were set in motion years or decades ago. The Intergenerational Income Mobility Rank (M2) from Harvard's Opportunity Atlas represents the probability that a child born in the bottom income quintile in a given census tract will reach the top quintile as an adult. In some neighborhoods, this probability is below 5%.</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200"/>
        <w:gridCol w:w="1100"/>
        <w:gridCol w:w="1600"/>
        <w:gridCol w:w="560"/>
        <w:gridCol w:w="600"/>
      </w:tblGrid>
      <w:tr>
        <w:trPr>
          <w:tblHeader/>
        </w:trP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School Graduation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of 9th graders graduating on time; leading indicator of future income trajectory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NCES / State DOEs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District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Intergenerational Mobility Rank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Probability child in bottom quintile reaches top quintile; from Opportunity Atlas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Structural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Opportunity Insights</w:t>
            </w:r>
          </w:p>
        </w:tc>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Census Tract</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Chronic Absenteeism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K-12 students missing 10%+ of school days; correlated with family instability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DOEs</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District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College Enrollment Rate (Low-Income)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low-income HS graduates enrolling in college; measures upward mobility pathway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NCES</w:t>
            </w:r>
          </w:p>
        </w:tc>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District/County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4.10 Categories 8–10: Infrastructure, Social Capital &amp; Policy (I1–I4, S1–S3, P1–P4)</w:t>
      </w:r>
    </w:p>
    <w:p>
      <w:pPr>
        <w:spacing w:after="120"/>
      </w:pPr>
      <w:r>
        <w:rPr>
          <w:rFonts w:ascii="Arial" w:cs="Arial" w:eastAsia="Arial" w:hAnsi="Arial"/>
          <w:color w:val="333333"/>
          <w:sz w:val="22"/>
          <w:szCs w:val="22"/>
        </w:rPr>
        <w:t xml:space="preserve">The remaining three categories cover infrastructure access, social capital metrics, and policy/safety net indicators. These tend to be slower-moving structural and concurrent signals that provide important context for interpreting the early-warning and community-drain layers.</w:t>
      </w:r>
    </w:p>
    <w:p>
      <w:pPr>
        <w:spacing w:after="120"/>
      </w:pPr>
    </w:p>
    <w:p>
      <w:pPr>
        <w:spacing w:after="80" w:before="200"/>
      </w:pPr>
      <w:r>
        <w:rPr>
          <w:rFonts w:ascii="Arial" w:cs="Arial" w:eastAsia="Arial" w:hAnsi="Arial"/>
          <w:b/>
          <w:bCs/>
          <w:color w:val="333333"/>
          <w:sz w:val="22"/>
          <w:szCs w:val="22"/>
        </w:rPr>
        <w:t xml:space="preserve">Infrastructure (I1–I4)</w:t>
      </w:r>
    </w:p>
    <w:p>
      <w:pPr>
        <w:pStyle w:val="ListParagraph"/>
        <w:numPr>
          <w:ilvl w:val="0"/>
          <w:numId w:val="2"/>
        </w:numPr>
        <w:spacing w:after="80"/>
      </w:pPr>
      <w:r>
        <w:rPr>
          <w:rFonts w:ascii="Arial" w:cs="Arial" w:eastAsia="Arial" w:hAnsi="Arial"/>
          <w:color w:val="333333"/>
          <w:sz w:val="22"/>
          <w:szCs w:val="22"/>
        </w:rPr>
        <w:t xml:space="preserve">I1 — Commercial Vacancy Rate: % of retail/commercial units vacant; measures economic disinvestment. Source: CoStar / Local Assessors. Priority: 3</w:t>
      </w:r>
    </w:p>
    <w:p>
      <w:pPr>
        <w:pStyle w:val="ListParagraph"/>
        <w:numPr>
          <w:ilvl w:val="0"/>
          <w:numId w:val="2"/>
        </w:numPr>
        <w:spacing w:after="80"/>
      </w:pPr>
      <w:r>
        <w:rPr>
          <w:rFonts w:ascii="Arial" w:cs="Arial" w:eastAsia="Arial" w:hAnsi="Arial"/>
          <w:color w:val="333333"/>
          <w:sz w:val="22"/>
          <w:szCs w:val="22"/>
        </w:rPr>
        <w:t xml:space="preserve">I2 — Public Transit Access Score: % of residents within half a mile of frequent transit; transport poverty limits employment. Source: GTFS / Transit Agency Data. Priority: 3</w:t>
      </w:r>
    </w:p>
    <w:p>
      <w:pPr>
        <w:pStyle w:val="ListParagraph"/>
        <w:numPr>
          <w:ilvl w:val="0"/>
          <w:numId w:val="2"/>
        </w:numPr>
        <w:spacing w:after="80"/>
      </w:pPr>
      <w:r>
        <w:rPr>
          <w:rFonts w:ascii="Arial" w:cs="Arial" w:eastAsia="Arial" w:hAnsi="Arial"/>
          <w:color w:val="333333"/>
          <w:sz w:val="22"/>
          <w:szCs w:val="22"/>
        </w:rPr>
        <w:t xml:space="preserve">I3 — Lead Pipe Prevalence: % of water service lines made of lead; proxy for environmental injustice. Source: EPA SDWIS / Local Utilities. Priority: 3</w:t>
      </w:r>
    </w:p>
    <w:p>
      <w:pPr>
        <w:pStyle w:val="ListParagraph"/>
        <w:numPr>
          <w:ilvl w:val="0"/>
          <w:numId w:val="2"/>
        </w:numPr>
        <w:spacing w:after="80"/>
      </w:pPr>
      <w:r>
        <w:rPr>
          <w:rFonts w:ascii="Arial" w:cs="Arial" w:eastAsia="Arial" w:hAnsi="Arial"/>
          <w:color w:val="333333"/>
          <w:sz w:val="22"/>
          <w:szCs w:val="22"/>
        </w:rPr>
        <w:t xml:space="preserve">I4 — Park &amp; Green Space Access: Acres of public park per 1,000 residents; low access correlates with health disparities. Source: ParkScore / Local GIS. Priority: 2</w:t>
      </w:r>
    </w:p>
    <w:p>
      <w:pPr>
        <w:spacing w:after="120"/>
      </w:pPr>
    </w:p>
    <w:p>
      <w:pPr>
        <w:spacing w:after="80" w:before="200"/>
      </w:pPr>
      <w:r>
        <w:rPr>
          <w:rFonts w:ascii="Arial" w:cs="Arial" w:eastAsia="Arial" w:hAnsi="Arial"/>
          <w:b/>
          <w:bCs/>
          <w:color w:val="333333"/>
          <w:sz w:val="22"/>
          <w:szCs w:val="22"/>
        </w:rPr>
        <w:t xml:space="preserve">Social Capital (S1–S3)</w:t>
      </w:r>
    </w:p>
    <w:p>
      <w:pPr>
        <w:pStyle w:val="ListParagraph"/>
        <w:numPr>
          <w:ilvl w:val="0"/>
          <w:numId w:val="2"/>
        </w:numPr>
        <w:spacing w:after="80"/>
      </w:pPr>
      <w:r>
        <w:rPr>
          <w:rFonts w:ascii="Arial" w:cs="Arial" w:eastAsia="Arial" w:hAnsi="Arial"/>
          <w:color w:val="333333"/>
          <w:sz w:val="22"/>
          <w:szCs w:val="22"/>
        </w:rPr>
        <w:t xml:space="preserve">S1 — Economic Connectedness Index: Cross-income-class friendship density from Opportunity Insights/Meta Social Capital Atlas. Generational structural indicator. Priority: 5</w:t>
      </w:r>
    </w:p>
    <w:p>
      <w:pPr>
        <w:pStyle w:val="ListParagraph"/>
        <w:numPr>
          <w:ilvl w:val="0"/>
          <w:numId w:val="2"/>
        </w:numPr>
        <w:spacing w:after="80"/>
      </w:pPr>
      <w:r>
        <w:rPr>
          <w:rFonts w:ascii="Arial" w:cs="Arial" w:eastAsia="Arial" w:hAnsi="Arial"/>
          <w:color w:val="333333"/>
          <w:sz w:val="22"/>
          <w:szCs w:val="22"/>
        </w:rPr>
        <w:t xml:space="preserve">S2 — Civic Participation Rate: Voter registration and turnout; proxy for community social cohesion and political voice. Priority: 3</w:t>
      </w:r>
    </w:p>
    <w:p>
      <w:pPr>
        <w:pStyle w:val="ListParagraph"/>
        <w:numPr>
          <w:ilvl w:val="0"/>
          <w:numId w:val="2"/>
        </w:numPr>
        <w:spacing w:after="80"/>
      </w:pPr>
      <w:r>
        <w:rPr>
          <w:rFonts w:ascii="Arial" w:cs="Arial" w:eastAsia="Arial" w:hAnsi="Arial"/>
          <w:color w:val="333333"/>
          <w:sz w:val="22"/>
          <w:szCs w:val="22"/>
        </w:rPr>
        <w:t xml:space="preserve">S3 — Non-Profit Density: Community service non-profits per 1,000 residents; measures local support infrastructure. Priority: 2</w:t>
      </w:r>
    </w:p>
    <w:p>
      <w:pPr>
        <w:spacing w:after="120"/>
      </w:pPr>
    </w:p>
    <w:p>
      <w:pPr>
        <w:spacing w:after="80" w:before="200"/>
      </w:pPr>
      <w:r>
        <w:rPr>
          <w:rFonts w:ascii="Arial" w:cs="Arial" w:eastAsia="Arial" w:hAnsi="Arial"/>
          <w:b/>
          <w:bCs/>
          <w:color w:val="333333"/>
          <w:sz w:val="22"/>
          <w:szCs w:val="22"/>
        </w:rPr>
        <w:t xml:space="preserve">Policy &amp; Safety Net (P1–P4)</w:t>
      </w:r>
    </w:p>
    <w:p>
      <w:pPr>
        <w:pStyle w:val="ListParagraph"/>
        <w:numPr>
          <w:ilvl w:val="0"/>
          <w:numId w:val="2"/>
        </w:numPr>
        <w:spacing w:after="80"/>
      </w:pPr>
      <w:r>
        <w:rPr>
          <w:rFonts w:ascii="Arial" w:cs="Arial" w:eastAsia="Arial" w:hAnsi="Arial"/>
          <w:color w:val="333333"/>
          <w:sz w:val="22"/>
          <w:szCs w:val="22"/>
        </w:rPr>
        <w:t xml:space="preserve">P1 — EITC Claim Rate: % of eligible households claiming the Earned Income Tax Credit; low rates signal benefit non-take-up. Priority: 4</w:t>
      </w:r>
    </w:p>
    <w:p>
      <w:pPr>
        <w:pStyle w:val="ListParagraph"/>
        <w:numPr>
          <w:ilvl w:val="0"/>
          <w:numId w:val="2"/>
        </w:numPr>
        <w:spacing w:after="80"/>
      </w:pPr>
      <w:r>
        <w:rPr>
          <w:rFonts w:ascii="Arial" w:cs="Arial" w:eastAsia="Arial" w:hAnsi="Arial"/>
          <w:color w:val="333333"/>
          <w:sz w:val="22"/>
          <w:szCs w:val="22"/>
        </w:rPr>
        <w:t xml:space="preserve">P2 — Medicaid/CHIP Enrollment Change: Month-over-month change; spikes signal income shocks (1–3 month lead). Priority: 4</w:t>
      </w:r>
    </w:p>
    <w:p>
      <w:pPr>
        <w:pStyle w:val="ListParagraph"/>
        <w:numPr>
          <w:ilvl w:val="0"/>
          <w:numId w:val="2"/>
        </w:numPr>
        <w:spacing w:after="80"/>
      </w:pPr>
      <w:r>
        <w:rPr>
          <w:rFonts w:ascii="Arial" w:cs="Arial" w:eastAsia="Arial" w:hAnsi="Arial"/>
          <w:color w:val="333333"/>
          <w:sz w:val="22"/>
          <w:szCs w:val="22"/>
        </w:rPr>
        <w:t xml:space="preserve">P3 — Housing Voucher Waitlist Length: Number of households on Section 8 waitlist; signals gap between supply and need. Priority: 4</w:t>
      </w:r>
    </w:p>
    <w:p>
      <w:pPr>
        <w:pStyle w:val="ListParagraph"/>
        <w:numPr>
          <w:ilvl w:val="0"/>
          <w:numId w:val="2"/>
        </w:numPr>
        <w:spacing w:after="80"/>
      </w:pPr>
      <w:r>
        <w:rPr>
          <w:rFonts w:ascii="Arial" w:cs="Arial" w:eastAsia="Arial" w:hAnsi="Arial"/>
          <w:color w:val="333333"/>
          <w:sz w:val="22"/>
          <w:szCs w:val="22"/>
        </w:rPr>
        <w:t xml:space="preserve">P4 — Child Tax Credit Non-Take-Up Rate: % eligible households not claiming CTC; signals disconnection from tax system. Priority: 3</w:t>
      </w:r>
    </w:p>
    <w:p>
      <w:r>
        <w:br w:type="page"/>
      </w:r>
    </w:p>
    <w:p>
      <w:pPr>
        <w:pStyle w:val="Heading1"/>
        <w:spacing w:after="200" w:before="360"/>
      </w:pPr>
      <w:r>
        <w:rPr>
          <w:rFonts w:ascii="Arial" w:cs="Arial" w:eastAsia="Arial" w:hAnsi="Arial"/>
          <w:b/>
          <w:bCs/>
          <w:color w:val="1B3A5C"/>
          <w:sz w:val="36"/>
          <w:szCs w:val="36"/>
        </w:rPr>
        <w:t xml:space="preserve">5. The Excel Workbook — Structure, Formulas &amp; Calculators</w:t>
      </w:r>
    </w:p>
    <w:p>
      <w:pPr>
        <w:spacing w:after="120"/>
      </w:pPr>
      <w:r>
        <w:rPr>
          <w:rFonts w:ascii="Arial" w:cs="Arial" w:eastAsia="Arial" w:hAnsi="Arial"/>
          <w:color w:val="333333"/>
          <w:sz w:val="22"/>
          <w:szCs w:val="22"/>
        </w:rPr>
        <w:t xml:space="preserve">The Excel workbook serves as the current operational backbone of the Predictive Poverty Tracker. It is organized into seven worksheets, each serving a distinct analytical function. This section documents every sheet, all key formulas, and the complete logic of the Composite Neighborhood Poverty Risk Index calculator.</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5.1 Workbook Sheet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Sheet Name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Master Data 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registry of all 48 labeled data points across 10 categories. Primary reference sheet. Contains ID, Category, Indicator Name, Definition, Signal Type, Data Source, Geographic Level, Update Frequency, Predictive Lead Time, and Priority Score.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Poverty Metrics Comparison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Side-by-side analysis of OPM, SPM, Anchored SPM, Consumption-Based, and MPI measures. Explains why each measure does or does not serve predictive purposes.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Predictive Models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Analysis of 9 existing research sources and models — what they track, their methodology, and how each can be integrated into the framework.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Data Governance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 custodians, access barriers, privacy constraints, and interoperability strategies for each of the major data streams.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Conversion Tools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calculators: Eviction Filing Rate (Section A), Energy Insecurity Risk Score (Section B), Federal Poverty Level Threshold Conversions (Section C), and the Composite Neighborhood Poverty Risk Index (Section 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Framework &amp; Hypothesis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Refined research hypothesis, the four-layer architecture diagram, and the full methodology stack comparison.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Legend &amp; Guide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 codes, signal type definitions, priority score guide, and navigation instructions.</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5.2 Section A — Eviction Filing Rate Calculator</w:t>
      </w:r>
    </w:p>
    <w:p>
      <w:pPr>
        <w:spacing w:after="120"/>
      </w:pPr>
      <w:r>
        <w:rPr>
          <w:rFonts w:ascii="Arial" w:cs="Arial" w:eastAsia="Arial" w:hAnsi="Arial"/>
          <w:color w:val="333333"/>
          <w:sz w:val="22"/>
          <w:szCs w:val="22"/>
        </w:rPr>
        <w:t xml:space="preserve">Located in the Conversion Tools sheet, this calculator converts raw court filing data into the standardized Eviction Filing Rate per 100 renter households used across the framework.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 Output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Eviction Cases Filed (B5)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 raw filing count from court records for the period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Total Renter Households in Area (B6)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From ACS Table B25003 for the geographic area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Eviction Filing Rate per 100 HHs (B7)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 =(B5/B6)*100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Risk Benchmark — National Avg (B8)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2.30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Source: Eviction Lab 2024; hardcoded reference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Deviation from Benchmark (B9)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+3.70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 =B7-B8 — Positive = above national average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60"/>
              <w:left w:type="dxa" w:w="200"/>
              <w:bottom w:type="dxa" w:w="160"/>
              <w:right w:type="dxa" w:w="200"/>
            </w:tcMar>
          </w:tcPr>
          <w:p>
            <w:r>
              <w:rPr>
                <w:rFonts w:ascii="Arial" w:cs="Arial" w:eastAsia="Arial" w:hAnsi="Arial"/>
                <w:i/>
                <w:iCs/>
                <w:color w:val="7D4000"/>
                <w:sz w:val="22"/>
                <w:szCs w:val="22"/>
              </w:rPr>
              <w:t xml:space="preserve">Interpretation: An eviction filing rate of 6.0 per 100 households is 2.6× the national average. At this level, the neighborhood qualifies as an Early Warning alert zone and should trigger immediate case management outreach.</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5.3 Section B — Energy Insecurity Risk Score</w:t>
      </w:r>
    </w:p>
    <w:p>
      <w:pPr>
        <w:spacing w:after="120"/>
      </w:pPr>
      <w:r>
        <w:rPr>
          <w:rFonts w:ascii="Arial" w:cs="Arial" w:eastAsia="Arial" w:hAnsi="Arial"/>
          <w:color w:val="333333"/>
          <w:sz w:val="22"/>
          <w:szCs w:val="22"/>
        </w:rPr>
        <w:t xml:space="preserve">This calculator produces a weighted Energy Insecurity Score (0–100) by combining three energy stress indicators. The weighting reflects that disconnection notices (leading indicator) carry greater predictive value than actual disconnections (lagging) or arrearage levels (concurrent).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2560"/>
      </w:tblGrid>
      <w:tr>
        <w:trPr>
          <w:tblHeader/>
        </w:trP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 Output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Final Disconnection Notice Rate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0.40 (40%)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of households receiving final notice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Actual Disconnection Rate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0.35 (35%)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actually losing service (lagging; weighted lower)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Avg Arrearage ≥ $100 (% of HHs)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0.25 (25%)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with $100+ unpaid utility debt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Weighted Energy Insecurity Score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12.3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Formula: =(B12*C12)+(B13*C13)+(B14*C14). Scale 0–100; &gt;15 = HIGH RISK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60"/>
              <w:left w:type="dxa" w:w="200"/>
              <w:bottom w:type="dxa" w:w="160"/>
              <w:right w:type="dxa" w:w="200"/>
            </w:tcMar>
          </w:tcPr>
          <w:p>
            <w:r>
              <w:rPr>
                <w:rFonts w:ascii="Arial" w:cs="Arial" w:eastAsia="Arial" w:hAnsi="Arial"/>
                <w:i/>
                <w:iCs/>
                <w:color w:val="0E4D2E"/>
                <w:sz w:val="22"/>
                <w:szCs w:val="22"/>
              </w:rPr>
              <w:t xml:space="preserve">Threshold Guide: Score 0–10 = Low Risk. Score 10–15 = Moderate Risk. Score &gt;15 = HIGH RISK — initiate LIHEAP outreach and utility assistance pre-qualification.</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5.4 Section C — Federal Poverty Level Threshold Conversions (2024 HHS FPL)</w:t>
      </w:r>
    </w:p>
    <w:p>
      <w:pPr>
        <w:spacing w:after="120"/>
      </w:pPr>
      <w:r>
        <w:rPr>
          <w:rFonts w:ascii="Arial" w:cs="Arial" w:eastAsia="Arial" w:hAnsi="Arial"/>
          <w:color w:val="333333"/>
          <w:sz w:val="22"/>
          <w:szCs w:val="22"/>
        </w:rPr>
        <w:t xml:space="preserve">The FPL conversion table enables users to quickly check eligibility thresholds for SNAP (130% FPL), Medicaid (200% FPL), and other programs. These values are updated annually by HHS.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Household Size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100% FPL ($)</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130% FPL — SNAP ($)</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200% FPL — Medicaid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$19,578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$30,120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$20,440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$26,572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$40,880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$25,820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$33,566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$51,640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$31,200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$40,560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$62,400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$36,580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$47,554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$73,160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$41,960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$54,548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$83,920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$47,340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$61,542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$94,680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$52,720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$68,536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$105,440</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5.5 Section D — Composite Neighborhood Poverty Risk Index Calculator</w:t>
      </w:r>
    </w:p>
    <w:p>
      <w:pPr>
        <w:spacing w:after="120"/>
      </w:pPr>
      <w:r>
        <w:rPr>
          <w:rFonts w:ascii="Arial" w:cs="Arial" w:eastAsia="Arial" w:hAnsi="Arial"/>
          <w:color w:val="333333"/>
          <w:sz w:val="22"/>
          <w:szCs w:val="22"/>
        </w:rPr>
        <w:t xml:space="preserve">This is the central formula engine of the entire workbook. It produces a single 0–100 score representing the overall poverty risk level of a neighborhood. Eight data points are combined using a weighted sum, where the weights reflect each indicator's predictive power and lead time.</w:t>
      </w:r>
    </w:p>
    <w:p>
      <w:pPr>
        <w:spacing w:after="120"/>
      </w:pPr>
    </w:p>
    <w:p>
      <w:pPr>
        <w:spacing w:after="80" w:before="200"/>
      </w:pPr>
      <w:r>
        <w:rPr>
          <w:rFonts w:ascii="Arial" w:cs="Arial" w:eastAsia="Arial" w:hAnsi="Arial"/>
          <w:b/>
          <w:bCs/>
          <w:color w:val="333333"/>
          <w:sz w:val="22"/>
          <w:szCs w:val="22"/>
        </w:rPr>
        <w:t xml:space="preserve">The Eight-Component Weighted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3200"/>
        <w:gridCol w:w="1460"/>
        <w:gridCol w:w="1200"/>
        <w:gridCol w:w="130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Weighted Score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Early Warning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Eviction Filing Rate (per 100 HHs)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0.20 (20%)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0.70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Early Warning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Final Disconnection Notice Rate (%)</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0.15 (15%)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2.70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Community Drain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Payday Loan Inquiry Volume Index (0–100)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 (15%)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6.75</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Community Drain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Debt-in-Collections Rate (%)</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0.10 (10%)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Mobility Barrier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Broadband Non-Subscription Rate (%)</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 (10%)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Mobility Barrier</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Free &amp; Reduced Lunch Rate (%)</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0.10 (10%)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5.80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Structural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Wage Growth vs. Inflation Spread (%)</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 (10%)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-0.15</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Structural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Immobility Score (100 − Mobility Rank)</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0.10 (10%)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7.20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COMPOSITE RISK INDEX SCORE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28.70</w:t>
            </w:r>
          </w:p>
        </w:tc>
      </w:tr>
    </w:tbl>
    <w:p>
      <w:pPr>
        <w:spacing w:after="160"/>
      </w:pPr>
    </w:p>
    <w:p>
      <w:pPr>
        <w:spacing w:after="120"/>
      </w:pPr>
      <w:r>
        <w:rPr>
          <w:rFonts w:ascii="Arial" w:cs="Arial" w:eastAsia="Arial" w:hAnsi="Arial"/>
          <w:color w:val="333333"/>
          <w:sz w:val="22"/>
          <w:szCs w:val="22"/>
        </w:rPr>
        <w:t xml:space="preserve">Master formula in Excel (cell that computes the total): =SUMPRODUCT(D_values, Weight_column)</w:t>
      </w:r>
    </w:p>
    <w:p>
      <w:pPr>
        <w:spacing w:after="120"/>
      </w:pPr>
      <w:r>
        <w:rPr>
          <w:rFonts w:ascii="Arial" w:cs="Arial" w:eastAsia="Arial" w:hAnsi="Arial"/>
          <w:color w:val="333333"/>
          <w:sz w:val="22"/>
          <w:szCs w:val="22"/>
        </w:rPr>
        <w:t xml:space="preserve">Alternatively as explicit cell references: =(D5*E5)+(D6*E6)+(D7*E7)+(D8*E8)+(D9*E9)+(D10*E10)+(D11*E11)+(D12*E12)</w:t>
      </w:r>
    </w:p>
    <w:p>
      <w:pPr>
        <w:spacing w:after="120"/>
      </w:pPr>
    </w:p>
    <w:p>
      <w:pPr>
        <w:spacing w:after="80" w:before="200"/>
      </w:pPr>
      <w:r>
        <w:rPr>
          <w:rFonts w:ascii="Arial" w:cs="Arial" w:eastAsia="Arial" w:hAnsi="Arial"/>
          <w:b/>
          <w:bCs/>
          <w:color w:val="333333"/>
          <w:sz w:val="22"/>
          <w:szCs w:val="22"/>
        </w:rPr>
        <w:t xml:space="preserve">Risk Tier 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Response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 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RISK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Neighborhood stable; monitor quarterly. No immediate action required.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21 – 40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MODERATE RISK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Emerging stress signals detected; increase monitoring frequency to monthly. Alert case managers.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41 – 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RISK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early warning phase; deploy targeted interventions. Pre-position emergency rental assistance and utility funds.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61 – 80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SEVERE RISK</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Poverty crystallization underway; emergency resource deployment required. Multi-agency coordination activated.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 – 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CRISIS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Systemic collapse detected; immediate multi-agency response required. Escalate to city/county emergency management.</w:t>
            </w:r>
          </w:p>
        </w:tc>
      </w:tr>
    </w:tbl>
    <w:p>
      <w:pPr>
        <w:spacing w:after="200"/>
      </w:pPr>
    </w:p>
    <w:p>
      <w:r>
        <w:br w:type="page"/>
      </w:r>
    </w:p>
    <w:p>
      <w:pPr>
        <w:pStyle w:val="Heading1"/>
        <w:spacing w:after="200" w:before="360"/>
      </w:pPr>
      <w:r>
        <w:rPr>
          <w:rFonts w:ascii="Arial" w:cs="Arial" w:eastAsia="Arial" w:hAnsi="Arial"/>
          <w:b/>
          <w:bCs/>
          <w:color w:val="1B3A5C"/>
          <w:sz w:val="36"/>
          <w:szCs w:val="36"/>
        </w:rPr>
        <w:t xml:space="preserve">6. Existing Predictive Models &amp; Research Sources</w:t>
      </w:r>
    </w:p>
    <w:p>
      <w:pPr>
        <w:spacing w:after="120"/>
      </w:pPr>
      <w:r>
        <w:rPr>
          <w:rFonts w:ascii="Arial" w:cs="Arial" w:eastAsia="Arial" w:hAnsi="Arial"/>
          <w:color w:val="333333"/>
          <w:sz w:val="22"/>
          <w:szCs w:val="22"/>
        </w:rPr>
        <w:t xml:space="preserve">The framework draws on nine established research organizations and methodologies. Rather than reinventing what these institutions have already built, the strategy is to integrate their outputs as calibration layers and baseline references within the Composite Risk Index.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Organization / Source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Dataset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Predicted Outcome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Harvard Opportunity Insights (Chetty)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Opportunity Atlas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Intergenerational Mobility Rate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as baseline 'mobility ceiling' for each tract. Prioritize tracts where mobility score is near zero.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Harvard Opportunity Insights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Social Capital Atlas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Economic Connectedness Index</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 EC scores predict stagnant poverty cycles. Target investment where EC is low but mobility could improve.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Columbia / Robin Hood Foundation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NYC Poverty Tracker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Poverty Entry/Exit Velocity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Replicate the quarterly pulse model. Track 'poverty churning' — how fast families enter/exit — not just the 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World Bank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SWIFT Protocol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Household Poverty Probability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Adapt the 15-indicator protocol for rapid neighborhood scanning. Enables real-time poverty 'nowcasting.'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Urban Institute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Neighborhood Data for Social Change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Multi-domain Vulnerability Index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as calibration dataset. Their composite scoring can be adapted for the Bayesian spatiotemporal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Eviction Lab (Princeton)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Eviction Tracking System (ETS)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Eviction Risk Score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Integrate ETS filing rates as the primary early-warning leading indicator (H1, H2).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Bureau / BLS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American Community Survey (ACS)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 Poverty Snapshot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as baseline ground truth for model calibration. ACS 1-yr estimates provide faster but noisier updates.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 Dept. of Energy (EIA)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Residential Energy Consumption Survey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Energy Insecurity Prevalence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Benchmark local utility data (E1–E4) against national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Federal Reserve / CFPB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Consumer Credit 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 Access &amp; Debt Stress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F3, F4, F6 over time. Rising delinquency 12–18 months before eviction spikes is the key signal.</w:t>
            </w:r>
          </w:p>
        </w:tc>
      </w:tr>
    </w:tbl>
    <w:p>
      <w:pPr>
        <w:spacing w:after="200"/>
      </w:pPr>
    </w:p>
    <w:p>
      <w:r>
        <w:br w:type="page"/>
      </w:r>
    </w:p>
    <w:p>
      <w:pPr>
        <w:pStyle w:val="Heading1"/>
        <w:spacing w:after="200" w:before="360"/>
      </w:pPr>
      <w:r>
        <w:rPr>
          <w:rFonts w:ascii="Arial" w:cs="Arial" w:eastAsia="Arial" w:hAnsi="Arial"/>
          <w:b/>
          <w:bCs/>
          <w:color w:val="1B3A5C"/>
          <w:sz w:val="36"/>
          <w:szCs w:val="36"/>
        </w:rPr>
        <w:t xml:space="preserve">7. Data Governance — Access, Privacy &amp; Integration Strategies</w:t>
      </w:r>
    </w:p>
    <w:p>
      <w:pPr>
        <w:spacing w:after="120"/>
      </w:pPr>
      <w:r>
        <w:rPr>
          <w:rFonts w:ascii="Arial" w:cs="Arial" w:eastAsia="Arial" w:hAnsi="Arial"/>
          <w:color w:val="333333"/>
          <w:sz w:val="22"/>
          <w:szCs w:val="22"/>
        </w:rPr>
        <w:t xml:space="preserve">Understanding how to access, combine, and maintain each data stream is as important as knowing which data to collect. This section documents the primary custodians, access barriers, privacy constraints, and integration strategies for the most critical data types.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700"/>
        <w:gridCol w:w="1800"/>
        <w:gridCol w:w="1560"/>
        <w:gridCol w:w="1000"/>
      </w:tblGrid>
      <w:tr>
        <w:trPr>
          <w:tblHeader/>
        </w:trP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Custodian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Barrier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Privacy Constraint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Strategy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Eviction Filings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Courts / Judiciary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Inconsistent digitization; non-standardized legal codes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CPLR / State privacy rules; no federal mandate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with Eviction Lab ETS; advocate for state e-filing mandates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Utility Disconnection 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Private &amp; Public Utilities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Proprietary; no federal reporting requirement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State PUC rules; customer data confidentiality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File for regulatory disclosure at state PUC level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School Poverty Indicators (FRL)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 Dept. of Education / LEAs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FERPA regulations; CEP masks individual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FERPA (20 U.S.C. § 1232g)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aggregated NCES district-level data; Urban Institute proxy estimates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Credit &amp; Financial Data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Equifax, Experian, TransUnion; CFPB</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 cost; anonymization requirements; bureau silos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FCRA; GLBA; state financial privacy laws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Leverage CFPB Consumer Credit Panel (5% anonymized sample)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 / Medicaid Enrollment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USDA FNS; CMS; State Agencies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Released at county level only; state-level delays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 Act 1974; ACA data use agreements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Request county-level data via state partnership MOUs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 / Health Records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Hospitals; State Health Depts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Highly fragmented; HIPAA restrictions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HIPAA (45 CFR Parts 160/164)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 HCUP state databases (aggregated); partner with HIEs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Property Tax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County Assessors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Format varies widely; sparse API access in rural areas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 records (no major barrier)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Bulk download from county assessors; use Regrid / Parcl Labs APIs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Broadband Access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FCC (Form 477 / BDC)</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FCC BDC has known over-reporting bias; ISP data proprietary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FCC reporting rules; ISP competitive confidentiality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 Microsoft AI for Health broadband data; validate with Ookla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bl>
    <w:p>
      <w:pPr>
        <w:spacing w:after="200"/>
      </w:pPr>
    </w:p>
    <w:p>
      <w:r>
        <w:br w:type="page"/>
      </w:r>
    </w:p>
    <w:p>
      <w:pPr>
        <w:pStyle w:val="Heading1"/>
        <w:spacing w:after="200" w:before="360"/>
      </w:pPr>
      <w:r>
        <w:rPr>
          <w:rFonts w:ascii="Arial" w:cs="Arial" w:eastAsia="Arial" w:hAnsi="Arial"/>
          <w:b/>
          <w:bCs/>
          <w:color w:val="1B3A5C"/>
          <w:sz w:val="36"/>
          <w:szCs w:val="36"/>
        </w:rPr>
        <w:t xml:space="preserve">8. Website Platform Design Specification</w:t>
      </w:r>
    </w:p>
    <w:p>
      <w:pPr>
        <w:spacing w:after="120"/>
      </w:pPr>
      <w:r>
        <w:rPr>
          <w:rFonts w:ascii="Arial" w:cs="Arial" w:eastAsia="Arial" w:hAnsi="Arial"/>
          <w:color w:val="333333"/>
          <w:sz w:val="22"/>
          <w:szCs w:val="22"/>
        </w:rPr>
        <w:t xml:space="preserve">The web platform transforms the Excel workbook into a collaborative, multi-user tool that makes the Predictive Poverty Tracker accessible to policymakers, nonprofit program managers, researchers, and community advocates — without requiring any technical knowledge of the underlying data infrastructure.</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8.1 Core Design Principles</w:t>
      </w:r>
    </w:p>
    <w:p>
      <w:pPr>
        <w:pStyle w:val="ListParagraph"/>
        <w:numPr>
          <w:ilvl w:val="0"/>
          <w:numId w:val="2"/>
        </w:numPr>
        <w:spacing w:after="80"/>
      </w:pPr>
      <w:r>
        <w:rPr>
          <w:rFonts w:ascii="Arial" w:cs="Arial" w:eastAsia="Arial" w:hAnsi="Arial"/>
          <w:color w:val="333333"/>
          <w:sz w:val="22"/>
          <w:szCs w:val="22"/>
        </w:rPr>
        <w:t xml:space="preserve">Dashboard-First: Every user lands on a visual overview. No one should need to navigate more than two clicks to find the information they need for their area.</w:t>
      </w:r>
    </w:p>
    <w:p>
      <w:pPr>
        <w:pStyle w:val="ListParagraph"/>
        <w:numPr>
          <w:ilvl w:val="0"/>
          <w:numId w:val="2"/>
        </w:numPr>
        <w:spacing w:after="80"/>
      </w:pPr>
      <w:r>
        <w:rPr>
          <w:rFonts w:ascii="Arial" w:cs="Arial" w:eastAsia="Arial" w:hAnsi="Arial"/>
          <w:color w:val="333333"/>
          <w:sz w:val="22"/>
          <w:szCs w:val="22"/>
        </w:rPr>
        <w:t xml:space="preserve">Plain-Language Labeling: Every data point label is written in plain English, with a tooltip or expandable explanation for users who want the technical definition.</w:t>
      </w:r>
    </w:p>
    <w:p>
      <w:pPr>
        <w:pStyle w:val="ListParagraph"/>
        <w:numPr>
          <w:ilvl w:val="0"/>
          <w:numId w:val="2"/>
        </w:numPr>
        <w:spacing w:after="80"/>
      </w:pPr>
      <w:r>
        <w:rPr>
          <w:rFonts w:ascii="Arial" w:cs="Arial" w:eastAsia="Arial" w:hAnsi="Arial"/>
          <w:color w:val="333333"/>
          <w:sz w:val="22"/>
          <w:szCs w:val="22"/>
        </w:rPr>
        <w:t xml:space="preserve">Trend Over Snapshot: The primary visual for every indicator is a trend line — not just the current value — so users can see whether conditions are improving or deteriorating.</w:t>
      </w:r>
    </w:p>
    <w:p>
      <w:pPr>
        <w:pStyle w:val="ListParagraph"/>
        <w:numPr>
          <w:ilvl w:val="0"/>
          <w:numId w:val="2"/>
        </w:numPr>
        <w:spacing w:after="80"/>
      </w:pPr>
      <w:r>
        <w:rPr>
          <w:rFonts w:ascii="Arial" w:cs="Arial" w:eastAsia="Arial" w:hAnsi="Arial"/>
          <w:color w:val="333333"/>
          <w:sz w:val="22"/>
          <w:szCs w:val="22"/>
        </w:rPr>
        <w:t xml:space="preserve">Multi-User Ready: User accounts, role-based access control, and the ability to save custom area configurations allow teams to use the platform collaboratively.</w:t>
      </w:r>
    </w:p>
    <w:p>
      <w:pPr>
        <w:pStyle w:val="ListParagraph"/>
        <w:numPr>
          <w:ilvl w:val="0"/>
          <w:numId w:val="2"/>
        </w:numPr>
        <w:spacing w:after="80"/>
      </w:pPr>
      <w:r>
        <w:rPr>
          <w:rFonts w:ascii="Arial" w:cs="Arial" w:eastAsia="Arial" w:hAnsi="Arial"/>
          <w:color w:val="333333"/>
          <w:sz w:val="22"/>
          <w:szCs w:val="22"/>
        </w:rPr>
        <w:t xml:space="preserve">Mobile-Responsive: Field workers and community advocates need to be able to check indicators on a phone.</w:t>
      </w:r>
    </w:p>
    <w:p>
      <w:pPr>
        <w:pStyle w:val="ListParagraph"/>
        <w:numPr>
          <w:ilvl w:val="0"/>
          <w:numId w:val="2"/>
        </w:numPr>
        <w:spacing w:after="80"/>
      </w:pPr>
      <w:r>
        <w:rPr>
          <w:rFonts w:ascii="Arial" w:cs="Arial" w:eastAsia="Arial" w:hAnsi="Arial"/>
          <w:color w:val="333333"/>
          <w:sz w:val="22"/>
          <w:szCs w:val="22"/>
        </w:rPr>
        <w:t xml:space="preserve">Action-Oriented: Every risk alert connects directly to a recommended intervention, preventing the platform from becoming an information display with no clear next step.</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8.2 Platform Architecture Overview</w:t>
      </w:r>
    </w:p>
    <w:p>
      <w:pPr>
        <w:spacing w:after="120"/>
      </w:pPr>
      <w:r>
        <w:rPr>
          <w:rFonts w:ascii="Arial" w:cs="Arial" w:eastAsia="Arial" w:hAnsi="Arial"/>
          <w:color w:val="333333"/>
          <w:sz w:val="22"/>
          <w:szCs w:val="22"/>
        </w:rPr>
        <w:t xml:space="preserve">The platform consists of six primary sections, accessible via a persistent top navigation bar. Each section corresponds to a distinct user need and draws on a specific subset of the tracker's data points.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&amp; Primary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Area Overview Dashboard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landing page. Shows the Composite Risk Score for the user's selected area, a risk tier badge, a trend sparkline for the past 12 months, and top three contributing indicators.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Poverty Risk Score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 breakdown of the Composite Risk Index — all eight components, their weights, current values, and how they compare to regional and national benchmarks.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Data Explorer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table and chart view of all 48 data points. Users can filter by category, signal type, update frequency, or priority score. Export to CSV or PDF.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 Trend Analysis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Time-series charts for any indicator, with the ability to compare multiple areas side by side. Seasonal adjustment toggles. Alert threshold 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Alerts &amp; Notifications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User-configurable threshold alerts. When any tracked indicator crosses a defined threshold, the relevant users receive an in-app notification and optional email.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 Admin &amp; Data Entry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Secure back-end for authorized data managers to update indicator values, log data sources, and manage user accounts and area configurations.</w:t>
            </w:r>
          </w:p>
        </w:tc>
      </w:tr>
    </w:tbl>
    <w:p>
      <w:pPr>
        <w:spacing w:after="200"/>
      </w:pPr>
    </w:p>
    <w:p>
      <w:pPr>
        <w:pStyle w:val="Heading2"/>
        <w:pBdr>
          <w:bottom w:val="single" w:color="2E75B6" w:sz="4" w:space="4"/>
        </w:pBdr>
        <w:spacing w:after="160" w:before="300"/>
      </w:pPr>
      <w:r>
        <w:rPr>
          <w:rFonts w:ascii="Arial" w:cs="Arial" w:eastAsia="Arial" w:hAnsi="Arial"/>
          <w:b/>
          <w:bCs/>
          <w:color w:val="2E75B6"/>
          <w:sz w:val="28"/>
          <w:szCs w:val="28"/>
        </w:rPr>
        <w:t xml:space="preserve">8.3 Page 1: Area Overview Dashboard</w:t>
      </w:r>
    </w:p>
    <w:p>
      <w:pPr>
        <w:spacing w:after="120"/>
      </w:pPr>
      <w:r>
        <w:rPr>
          <w:rFonts w:ascii="Arial" w:cs="Arial" w:eastAsia="Arial" w:hAnsi="Arial"/>
          <w:color w:val="333333"/>
          <w:sz w:val="22"/>
          <w:szCs w:val="22"/>
        </w:rPr>
        <w:t xml:space="preserve">The dashboard is the first thing every user sees upon login. It is designed to convey the most critical information in under 30 seconds without requiring any user action.</w:t>
      </w:r>
    </w:p>
    <w:p>
      <w:pPr>
        <w:spacing w:after="120"/>
      </w:pPr>
    </w:p>
    <w:p>
      <w:pPr>
        <w:spacing w:after="80" w:before="200"/>
      </w:pPr>
      <w:r>
        <w:rPr>
          <w:rFonts w:ascii="Arial" w:cs="Arial" w:eastAsia="Arial" w:hAnsi="Arial"/>
          <w:b/>
          <w:bCs/>
          <w:color w:val="333333"/>
          <w:sz w:val="22"/>
          <w:szCs w:val="22"/>
        </w:rPr>
        <w:t xml:space="preserve">Dashboard Components</w:t>
      </w:r>
    </w:p>
    <w:p>
      <w:pPr>
        <w:pStyle w:val="ListParagraph"/>
        <w:numPr>
          <w:ilvl w:val="0"/>
          <w:numId w:val="2"/>
        </w:numPr>
        <w:spacing w:after="80"/>
      </w:pPr>
      <w:r>
        <w:rPr>
          <w:rFonts w:ascii="Arial" w:cs="Arial" w:eastAsia="Arial" w:hAnsi="Arial"/>
          <w:color w:val="333333"/>
          <w:sz w:val="22"/>
          <w:szCs w:val="22"/>
        </w:rPr>
        <w:t xml:space="preserve">Area Selector: Dropdown at top of page allowing users to select their area of interest by city, county, ZIP code, or census tract. Saved as user preference.</w:t>
      </w:r>
    </w:p>
    <w:p>
      <w:pPr>
        <w:pStyle w:val="ListParagraph"/>
        <w:numPr>
          <w:ilvl w:val="0"/>
          <w:numId w:val="2"/>
        </w:numPr>
        <w:spacing w:after="80"/>
      </w:pPr>
      <w:r>
        <w:rPr>
          <w:rFonts w:ascii="Arial" w:cs="Arial" w:eastAsia="Arial" w:hAnsi="Arial"/>
          <w:color w:val="333333"/>
          <w:sz w:val="22"/>
          <w:szCs w:val="22"/>
        </w:rPr>
        <w:t xml:space="preserve">Composite Risk Score Card: A large, prominently placed card showing the current score (0–100), the corresponding risk tier badge (color-coded: green for Low, yellow for Moderate, orange for High, red for Severe, dark red for Crisis), and the score change from the prior period (e.g., +3.2 points this month).</w:t>
      </w:r>
    </w:p>
    <w:p>
      <w:pPr>
        <w:pStyle w:val="ListParagraph"/>
        <w:numPr>
          <w:ilvl w:val="0"/>
          <w:numId w:val="2"/>
        </w:numPr>
        <w:spacing w:after="80"/>
      </w:pPr>
      <w:r>
        <w:rPr>
          <w:rFonts w:ascii="Arial" w:cs="Arial" w:eastAsia="Arial" w:hAnsi="Arial"/>
          <w:color w:val="333333"/>
          <w:sz w:val="22"/>
          <w:szCs w:val="22"/>
        </w:rPr>
        <w:t xml:space="preserve">12-Month Trend Sparkline: A compact line chart embedded directly in the risk score card showing how the score has moved over the past year. Users can see at a glance whether the neighborhood is improving or deteriorating.</w:t>
      </w:r>
    </w:p>
    <w:p>
      <w:pPr>
        <w:pStyle w:val="ListParagraph"/>
        <w:numPr>
          <w:ilvl w:val="0"/>
          <w:numId w:val="2"/>
        </w:numPr>
        <w:spacing w:after="80"/>
      </w:pPr>
      <w:r>
        <w:rPr>
          <w:rFonts w:ascii="Arial" w:cs="Arial" w:eastAsia="Arial" w:hAnsi="Arial"/>
          <w:color w:val="333333"/>
          <w:sz w:val="22"/>
          <w:szCs w:val="22"/>
        </w:rPr>
        <w:t xml:space="preserve">Top 3 Contributing Indicators: A small panel beneath the main score card highlighting the three indicators that are contributing most to the current score, with their values and benchmark comparisons (e.g., 'Eviction Filing Rate: 6.0/100 — 2.6× national average').</w:t>
      </w:r>
    </w:p>
    <w:p>
      <w:pPr>
        <w:pStyle w:val="ListParagraph"/>
        <w:numPr>
          <w:ilvl w:val="0"/>
          <w:numId w:val="2"/>
        </w:numPr>
        <w:spacing w:after="80"/>
      </w:pPr>
      <w:r>
        <w:rPr>
          <w:rFonts w:ascii="Arial" w:cs="Arial" w:eastAsia="Arial" w:hAnsi="Arial"/>
          <w:color w:val="333333"/>
          <w:sz w:val="22"/>
          <w:szCs w:val="22"/>
        </w:rPr>
        <w:t xml:space="preserve">Category-Level Summary Row: A horizontal row of eight mini-cards — one per indicator category — each showing a mini risk level badge and the category's highest-priority metric value. Clicking any category card navigates to the Data Explorer filtered for that category.</w:t>
      </w:r>
    </w:p>
    <w:p>
      <w:pPr>
        <w:pStyle w:val="ListParagraph"/>
        <w:numPr>
          <w:ilvl w:val="0"/>
          <w:numId w:val="2"/>
        </w:numPr>
        <w:spacing w:after="80"/>
      </w:pPr>
      <w:r>
        <w:rPr>
          <w:rFonts w:ascii="Arial" w:cs="Arial" w:eastAsia="Arial" w:hAnsi="Arial"/>
          <w:color w:val="333333"/>
          <w:sz w:val="22"/>
          <w:szCs w:val="22"/>
        </w:rPr>
        <w:t xml:space="preserve">Recent Alerts Banner: If any indicators have crossed alert thresholds since the user's last login, a banner at the top of the dashboard lists them with direct navigation links.</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8.4 Page 2: Poverty Risk Score — Full Breakdown</w:t>
      </w:r>
    </w:p>
    <w:p>
      <w:pPr>
        <w:spacing w:after="120"/>
      </w:pPr>
      <w:r>
        <w:rPr>
          <w:rFonts w:ascii="Arial" w:cs="Arial" w:eastAsia="Arial" w:hAnsi="Arial"/>
          <w:color w:val="333333"/>
          <w:sz w:val="22"/>
          <w:szCs w:val="22"/>
        </w:rPr>
        <w:t xml:space="preserve">This page provides the complete transparent breakdown of the Composite Risk Index. Its purpose is to allow users who want to understand why the score is what it is to drill into every component.</w:t>
      </w:r>
    </w:p>
    <w:p>
      <w:pPr>
        <w:spacing w:after="120"/>
      </w:pPr>
    </w:p>
    <w:p>
      <w:pPr>
        <w:spacing w:after="80" w:before="200"/>
      </w:pPr>
      <w:r>
        <w:rPr>
          <w:rFonts w:ascii="Arial" w:cs="Arial" w:eastAsia="Arial" w:hAnsi="Arial"/>
          <w:b/>
          <w:bCs/>
          <w:color w:val="333333"/>
          <w:sz w:val="22"/>
          <w:szCs w:val="22"/>
        </w:rPr>
        <w:t xml:space="preserve">Page Components</w:t>
      </w:r>
    </w:p>
    <w:p>
      <w:pPr>
        <w:pStyle w:val="ListParagraph"/>
        <w:numPr>
          <w:ilvl w:val="0"/>
          <w:numId w:val="2"/>
        </w:numPr>
        <w:spacing w:after="80"/>
      </w:pPr>
      <w:r>
        <w:rPr>
          <w:rFonts w:ascii="Arial" w:cs="Arial" w:eastAsia="Arial" w:hAnsi="Arial"/>
          <w:color w:val="333333"/>
          <w:sz w:val="22"/>
          <w:szCs w:val="22"/>
        </w:rPr>
        <w:t xml:space="preserve">Score Decomposition Table: A formatted table showing all eight index components (matching the Excel Section D layout): Layer, Data Point ID, Metric Name, Current Value, Weight, and Weighted Score. Each row includes a mini trend indicator (up/down arrow) and a benchmark comparison bar.</w:t>
      </w:r>
    </w:p>
    <w:p>
      <w:pPr>
        <w:pStyle w:val="ListParagraph"/>
        <w:numPr>
          <w:ilvl w:val="0"/>
          <w:numId w:val="2"/>
        </w:numPr>
        <w:spacing w:after="80"/>
      </w:pPr>
      <w:r>
        <w:rPr>
          <w:rFonts w:ascii="Arial" w:cs="Arial" w:eastAsia="Arial" w:hAnsi="Arial"/>
          <w:color w:val="333333"/>
          <w:sz w:val="22"/>
          <w:szCs w:val="22"/>
        </w:rPr>
        <w:t xml:space="preserve">Weight Visualization: A horizontal stacked bar chart showing the relative weight of each component. Users with admin access can adjust weights and see the score recalculate in real time.</w:t>
      </w:r>
    </w:p>
    <w:p>
      <w:pPr>
        <w:pStyle w:val="ListParagraph"/>
        <w:numPr>
          <w:ilvl w:val="0"/>
          <w:numId w:val="2"/>
        </w:numPr>
        <w:spacing w:after="80"/>
      </w:pPr>
      <w:r>
        <w:rPr>
          <w:rFonts w:ascii="Arial" w:cs="Arial" w:eastAsia="Arial" w:hAnsi="Arial"/>
          <w:color w:val="333333"/>
          <w:sz w:val="22"/>
          <w:szCs w:val="22"/>
        </w:rPr>
        <w:t xml:space="preserve">Benchmark Comparison Panel: For each component, a visual comparison bar showing the current area value against the national average, state average, and the best-performing comparable area.</w:t>
      </w:r>
    </w:p>
    <w:p>
      <w:pPr>
        <w:pStyle w:val="ListParagraph"/>
        <w:numPr>
          <w:ilvl w:val="0"/>
          <w:numId w:val="2"/>
        </w:numPr>
        <w:spacing w:after="80"/>
      </w:pPr>
      <w:r>
        <w:rPr>
          <w:rFonts w:ascii="Arial" w:cs="Arial" w:eastAsia="Arial" w:hAnsi="Arial"/>
          <w:color w:val="333333"/>
          <w:sz w:val="22"/>
          <w:szCs w:val="22"/>
        </w:rPr>
        <w:t xml:space="preserve">Score History Table: A data table showing the composite score and all eight component values for each of the past 12 reporting periods, allowing users to see exactly when and why the score changed.</w:t>
      </w:r>
    </w:p>
    <w:p>
      <w:pPr>
        <w:pStyle w:val="ListParagraph"/>
        <w:numPr>
          <w:ilvl w:val="0"/>
          <w:numId w:val="2"/>
        </w:numPr>
        <w:spacing w:after="80"/>
      </w:pPr>
      <w:r>
        <w:rPr>
          <w:rFonts w:ascii="Arial" w:cs="Arial" w:eastAsia="Arial" w:hAnsi="Arial"/>
          <w:color w:val="333333"/>
          <w:sz w:val="22"/>
          <w:szCs w:val="22"/>
        </w:rPr>
        <w:t xml:space="preserve">Interpretation Guide: An expandable section reprinting the risk tier interpretation guide (0–20: Low, 21–40: Moderate, etc.) with narrative explanations of what each tier means operationally.</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8.5 Page 3: Data Explorer</w:t>
      </w:r>
    </w:p>
    <w:p>
      <w:pPr>
        <w:spacing w:after="120"/>
      </w:pPr>
      <w:r>
        <w:rPr>
          <w:rFonts w:ascii="Arial" w:cs="Arial" w:eastAsia="Arial" w:hAnsi="Arial"/>
          <w:color w:val="333333"/>
          <w:sz w:val="22"/>
          <w:szCs w:val="22"/>
        </w:rPr>
        <w:t xml:space="preserve">The Data Explorer is the primary reference tool for users who need to look up specific data points, compare indicators across areas, or export data for external analysis.</w:t>
      </w:r>
    </w:p>
    <w:p>
      <w:pPr>
        <w:spacing w:after="120"/>
      </w:pPr>
    </w:p>
    <w:p>
      <w:pPr>
        <w:spacing w:after="80" w:before="200"/>
      </w:pPr>
      <w:r>
        <w:rPr>
          <w:rFonts w:ascii="Arial" w:cs="Arial" w:eastAsia="Arial" w:hAnsi="Arial"/>
          <w:b/>
          <w:bCs/>
          <w:color w:val="333333"/>
          <w:sz w:val="22"/>
          <w:szCs w:val="22"/>
        </w:rPr>
        <w:t xml:space="preserve">Page Components</w:t>
      </w:r>
    </w:p>
    <w:p>
      <w:pPr>
        <w:pStyle w:val="ListParagraph"/>
        <w:numPr>
          <w:ilvl w:val="0"/>
          <w:numId w:val="2"/>
        </w:numPr>
        <w:spacing w:after="80"/>
      </w:pPr>
      <w:r>
        <w:rPr>
          <w:rFonts w:ascii="Arial" w:cs="Arial" w:eastAsia="Arial" w:hAnsi="Arial"/>
          <w:color w:val="333333"/>
          <w:sz w:val="22"/>
          <w:szCs w:val="22"/>
        </w:rPr>
        <w:t xml:space="preserve">Filter Panel (left sidebar): Filter by Category (Housing, Energy, Financial, etc.), Signal Type (Leading / Concurrent / Lagging / Structural), Priority Score (1–5), Update Frequency (Monthly / Quarterly / Annual), and Geographic Level (Census Tract / ZIP / County).</w:t>
      </w:r>
    </w:p>
    <w:p>
      <w:pPr>
        <w:pStyle w:val="ListParagraph"/>
        <w:numPr>
          <w:ilvl w:val="0"/>
          <w:numId w:val="2"/>
        </w:numPr>
        <w:spacing w:after="80"/>
      </w:pPr>
      <w:r>
        <w:rPr>
          <w:rFonts w:ascii="Arial" w:cs="Arial" w:eastAsia="Arial" w:hAnsi="Arial"/>
          <w:color w:val="333333"/>
          <w:sz w:val="22"/>
          <w:szCs w:val="22"/>
        </w:rPr>
        <w:t xml:space="preserve">Indicator Data Table: A paginated, sortable table showing all 48 indicators with their ID, name, current value (for the selected area), signal type, priority, last-updated date, and data source. Clicking any row expands to show the full indicator definition and methodology note.</w:t>
      </w:r>
    </w:p>
    <w:p>
      <w:pPr>
        <w:pStyle w:val="ListParagraph"/>
        <w:numPr>
          <w:ilvl w:val="0"/>
          <w:numId w:val="2"/>
        </w:numPr>
        <w:spacing w:after="80"/>
      </w:pPr>
      <w:r>
        <w:rPr>
          <w:rFonts w:ascii="Arial" w:cs="Arial" w:eastAsia="Arial" w:hAnsi="Arial"/>
          <w:color w:val="333333"/>
          <w:sz w:val="22"/>
          <w:szCs w:val="22"/>
        </w:rPr>
        <w:t xml:space="preserve">Quick Chart Panel: When a row is selected, a panel slides open on the right showing a 12-month trend chart for that indicator in the selected area, with benchmark lines for national and state averages.</w:t>
      </w:r>
    </w:p>
    <w:p>
      <w:pPr>
        <w:pStyle w:val="ListParagraph"/>
        <w:numPr>
          <w:ilvl w:val="0"/>
          <w:numId w:val="2"/>
        </w:numPr>
        <w:spacing w:after="80"/>
      </w:pPr>
      <w:r>
        <w:rPr>
          <w:rFonts w:ascii="Arial" w:cs="Arial" w:eastAsia="Arial" w:hAnsi="Arial"/>
          <w:color w:val="333333"/>
          <w:sz w:val="22"/>
          <w:szCs w:val="22"/>
        </w:rPr>
        <w:t xml:space="preserve">Comparison Mode: Users can select up to four areas and see a side-by-side comparison for any single indicator. Useful for policymakers comparing neighborhoods or districts.</w:t>
      </w:r>
    </w:p>
    <w:p>
      <w:pPr>
        <w:pStyle w:val="ListParagraph"/>
        <w:numPr>
          <w:ilvl w:val="0"/>
          <w:numId w:val="2"/>
        </w:numPr>
        <w:spacing w:after="80"/>
      </w:pPr>
      <w:r>
        <w:rPr>
          <w:rFonts w:ascii="Arial" w:cs="Arial" w:eastAsia="Arial" w:hAnsi="Arial"/>
          <w:color w:val="333333"/>
          <w:sz w:val="22"/>
          <w:szCs w:val="22"/>
        </w:rPr>
        <w:t xml:space="preserve">Export Controls: Export the current filtered view as a CSV (raw data) or PDF (formatted report with context). Export includes source citations and timestamp.</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8.6 Page 4: Trend Analysis</w:t>
      </w:r>
    </w:p>
    <w:p>
      <w:pPr>
        <w:spacing w:after="120"/>
      </w:pPr>
      <w:r>
        <w:rPr>
          <w:rFonts w:ascii="Arial" w:cs="Arial" w:eastAsia="Arial" w:hAnsi="Arial"/>
          <w:color w:val="333333"/>
          <w:sz w:val="22"/>
          <w:szCs w:val="22"/>
        </w:rPr>
        <w:t xml:space="preserve">The Trend Analysis page is the platform's deep-dive analytical tool. It is designed for researchers, policy analysts, and program evaluators who need to understand the trajectory of conditions over time.</w:t>
      </w:r>
    </w:p>
    <w:p>
      <w:pPr>
        <w:spacing w:after="120"/>
      </w:pPr>
    </w:p>
    <w:p>
      <w:pPr>
        <w:spacing w:after="80" w:before="200"/>
      </w:pPr>
      <w:r>
        <w:rPr>
          <w:rFonts w:ascii="Arial" w:cs="Arial" w:eastAsia="Arial" w:hAnsi="Arial"/>
          <w:b/>
          <w:bCs/>
          <w:color w:val="333333"/>
          <w:sz w:val="22"/>
          <w:szCs w:val="22"/>
        </w:rPr>
        <w:t xml:space="preserve">Page Components</w:t>
      </w:r>
    </w:p>
    <w:p>
      <w:pPr>
        <w:pStyle w:val="ListParagraph"/>
        <w:numPr>
          <w:ilvl w:val="0"/>
          <w:numId w:val="2"/>
        </w:numPr>
        <w:spacing w:after="80"/>
      </w:pPr>
      <w:r>
        <w:rPr>
          <w:rFonts w:ascii="Arial" w:cs="Arial" w:eastAsia="Arial" w:hAnsi="Arial"/>
          <w:color w:val="333333"/>
          <w:sz w:val="22"/>
          <w:szCs w:val="22"/>
        </w:rPr>
        <w:t xml:space="preserve">Multi-Indicator Time-Series Chart: Users can select any combination of tracked indicators and plot them on a shared time axis. A secondary Y-axis is available for indicators with different scales (e.g., comparing a rate in % against a dollar amount).</w:t>
      </w:r>
    </w:p>
    <w:p>
      <w:pPr>
        <w:pStyle w:val="ListParagraph"/>
        <w:numPr>
          <w:ilvl w:val="0"/>
          <w:numId w:val="2"/>
        </w:numPr>
        <w:spacing w:after="80"/>
      </w:pPr>
      <w:r>
        <w:rPr>
          <w:rFonts w:ascii="Arial" w:cs="Arial" w:eastAsia="Arial" w:hAnsi="Arial"/>
          <w:color w:val="333333"/>
          <w:sz w:val="22"/>
          <w:szCs w:val="22"/>
        </w:rPr>
        <w:t xml:space="preserve">Date Range Selector: Interactive date range picker allowing users to zoom in on specific periods (e.g., the 6 months following a particular policy change or economic shock).</w:t>
      </w:r>
    </w:p>
    <w:p>
      <w:pPr>
        <w:pStyle w:val="ListParagraph"/>
        <w:numPr>
          <w:ilvl w:val="0"/>
          <w:numId w:val="2"/>
        </w:numPr>
        <w:spacing w:after="80"/>
      </w:pPr>
      <w:r>
        <w:rPr>
          <w:rFonts w:ascii="Arial" w:cs="Arial" w:eastAsia="Arial" w:hAnsi="Arial"/>
          <w:color w:val="333333"/>
          <w:sz w:val="22"/>
          <w:szCs w:val="22"/>
        </w:rPr>
        <w:t xml:space="preserve">Seasonal Adjustment Toggle: Toggles between raw monthly data and seasonally adjusted values, which is particularly important for energy indicators (winter spikes) and school-related indicators (summer gaps).</w:t>
      </w:r>
    </w:p>
    <w:p>
      <w:pPr>
        <w:pStyle w:val="ListParagraph"/>
        <w:numPr>
          <w:ilvl w:val="0"/>
          <w:numId w:val="2"/>
        </w:numPr>
        <w:spacing w:after="80"/>
      </w:pPr>
      <w:r>
        <w:rPr>
          <w:rFonts w:ascii="Arial" w:cs="Arial" w:eastAsia="Arial" w:hAnsi="Arial"/>
          <w:color w:val="333333"/>
          <w:sz w:val="22"/>
          <w:szCs w:val="22"/>
        </w:rPr>
        <w:t xml:space="preserve">Alert Threshold Lines: Horizontal lines on the chart marking the alert thresholds for the selected indicator. Users can see at a glance how close the area is to crossing a risk tier boundary.</w:t>
      </w:r>
    </w:p>
    <w:p>
      <w:pPr>
        <w:pStyle w:val="ListParagraph"/>
        <w:numPr>
          <w:ilvl w:val="0"/>
          <w:numId w:val="2"/>
        </w:numPr>
        <w:spacing w:after="80"/>
      </w:pPr>
      <w:r>
        <w:rPr>
          <w:rFonts w:ascii="Arial" w:cs="Arial" w:eastAsia="Arial" w:hAnsi="Arial"/>
          <w:color w:val="333333"/>
          <w:sz w:val="22"/>
          <w:szCs w:val="22"/>
        </w:rPr>
        <w:t xml:space="preserve">Annotation Layer: Authorized users can add annotations to the chart at specific dates (e.g., 'Emergency rental assistance program launched,' 'Factory closure announced') to contextualize the data and build institutional knowledge over time.</w:t>
      </w:r>
    </w:p>
    <w:p>
      <w:pPr>
        <w:pStyle w:val="ListParagraph"/>
        <w:numPr>
          <w:ilvl w:val="0"/>
          <w:numId w:val="2"/>
        </w:numPr>
        <w:spacing w:after="80"/>
      </w:pPr>
      <w:r>
        <w:rPr>
          <w:rFonts w:ascii="Arial" w:cs="Arial" w:eastAsia="Arial" w:hAnsi="Arial"/>
          <w:color w:val="333333"/>
          <w:sz w:val="22"/>
          <w:szCs w:val="22"/>
        </w:rPr>
        <w:t xml:space="preserve">Lead-Lag Analysis Tool: An advanced feature that plots a leading indicator alongside a lagging outcome indicator with a user-specified time offset, enabling visual verification of the 60–90 day lead time hypothesis.</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8.7 Page 5: Alerts &amp; Notifications</w:t>
      </w:r>
    </w:p>
    <w:p>
      <w:pPr>
        <w:spacing w:after="120"/>
      </w:pPr>
      <w:r>
        <w:rPr>
          <w:rFonts w:ascii="Arial" w:cs="Arial" w:eastAsia="Arial" w:hAnsi="Arial"/>
          <w:color w:val="333333"/>
          <w:sz w:val="22"/>
          <w:szCs w:val="22"/>
        </w:rPr>
        <w:t xml:space="preserve">The Alerts system converts the passive data display into an active monitoring and response tool. Users configure the conditions under which they want to be notified, and the system handles the rest.</w:t>
      </w:r>
    </w:p>
    <w:p>
      <w:pPr>
        <w:spacing w:after="120"/>
      </w:pPr>
    </w:p>
    <w:p>
      <w:pPr>
        <w:spacing w:after="80" w:before="200"/>
      </w:pPr>
      <w:r>
        <w:rPr>
          <w:rFonts w:ascii="Arial" w:cs="Arial" w:eastAsia="Arial" w:hAnsi="Arial"/>
          <w:b/>
          <w:bCs/>
          <w:color w:val="333333"/>
          <w:sz w:val="22"/>
          <w:szCs w:val="22"/>
        </w:rPr>
        <w:t xml:space="preserve">Alert Types</w:t>
      </w:r>
    </w:p>
    <w:p>
      <w:pPr>
        <w:pStyle w:val="ListParagraph"/>
        <w:numPr>
          <w:ilvl w:val="0"/>
          <w:numId w:val="2"/>
        </w:numPr>
        <w:spacing w:after="80"/>
      </w:pPr>
      <w:r>
        <w:rPr>
          <w:rFonts w:ascii="Arial" w:cs="Arial" w:eastAsia="Arial" w:hAnsi="Arial"/>
          <w:color w:val="333333"/>
          <w:sz w:val="22"/>
          <w:szCs w:val="22"/>
        </w:rPr>
        <w:t xml:space="preserve">Threshold Alert: Triggered when any tracked indicator exceeds a user-defined threshold (e.g., 'Notify me when the Eviction Filing Rate in ZIP 10001 exceeds 4.0 per 100 households').</w:t>
      </w:r>
    </w:p>
    <w:p>
      <w:pPr>
        <w:pStyle w:val="ListParagraph"/>
        <w:numPr>
          <w:ilvl w:val="0"/>
          <w:numId w:val="2"/>
        </w:numPr>
        <w:spacing w:after="80"/>
      </w:pPr>
      <w:r>
        <w:rPr>
          <w:rFonts w:ascii="Arial" w:cs="Arial" w:eastAsia="Arial" w:hAnsi="Arial"/>
          <w:color w:val="333333"/>
          <w:sz w:val="22"/>
          <w:szCs w:val="22"/>
        </w:rPr>
        <w:t xml:space="preserve">Score Tier Change Alert: Triggered when the Composite Risk Index crosses from one risk tier to the next (e.g., 'Notify me when any tracked area moves from Moderate Risk to High Risk').</w:t>
      </w:r>
    </w:p>
    <w:p>
      <w:pPr>
        <w:pStyle w:val="ListParagraph"/>
        <w:numPr>
          <w:ilvl w:val="0"/>
          <w:numId w:val="2"/>
        </w:numPr>
        <w:spacing w:after="80"/>
      </w:pPr>
      <w:r>
        <w:rPr>
          <w:rFonts w:ascii="Arial" w:cs="Arial" w:eastAsia="Arial" w:hAnsi="Arial"/>
          <w:color w:val="333333"/>
          <w:sz w:val="22"/>
          <w:szCs w:val="22"/>
        </w:rPr>
        <w:t xml:space="preserve">Trend Alert: Triggered when a leading indicator shows a statistically significant upward trend over three consecutive reporting periods — even if it has not yet crossed an absolute threshold.</w:t>
      </w:r>
    </w:p>
    <w:p>
      <w:pPr>
        <w:pStyle w:val="ListParagraph"/>
        <w:numPr>
          <w:ilvl w:val="0"/>
          <w:numId w:val="2"/>
        </w:numPr>
        <w:spacing w:after="80"/>
      </w:pPr>
      <w:r>
        <w:rPr>
          <w:rFonts w:ascii="Arial" w:cs="Arial" w:eastAsia="Arial" w:hAnsi="Arial"/>
          <w:color w:val="333333"/>
          <w:sz w:val="22"/>
          <w:szCs w:val="22"/>
        </w:rPr>
        <w:t xml:space="preserve">Data Freshness Alert: Triggered when a data source has not been updated within its expected update window (e.g., if monthly utility data is more than 45 days old), prompting a data quality review.</w:t>
      </w:r>
    </w:p>
    <w:p>
      <w:pPr>
        <w:spacing w:after="120"/>
      </w:pPr>
    </w:p>
    <w:p>
      <w:pPr>
        <w:spacing w:after="80" w:before="200"/>
      </w:pPr>
      <w:r>
        <w:rPr>
          <w:rFonts w:ascii="Arial" w:cs="Arial" w:eastAsia="Arial" w:hAnsi="Arial"/>
          <w:b/>
          <w:bCs/>
          <w:color w:val="333333"/>
          <w:sz w:val="22"/>
          <w:szCs w:val="22"/>
        </w:rPr>
        <w:t xml:space="preserve">Notification Channels</w:t>
      </w:r>
    </w:p>
    <w:p>
      <w:pPr>
        <w:pStyle w:val="ListParagraph"/>
        <w:numPr>
          <w:ilvl w:val="0"/>
          <w:numId w:val="2"/>
        </w:numPr>
        <w:spacing w:after="80"/>
      </w:pPr>
      <w:r>
        <w:rPr>
          <w:rFonts w:ascii="Arial" w:cs="Arial" w:eastAsia="Arial" w:hAnsi="Arial"/>
          <w:color w:val="333333"/>
          <w:sz w:val="22"/>
          <w:szCs w:val="22"/>
        </w:rPr>
        <w:t xml:space="preserve">In-App: Alert banner on next login; persistent alert log accessible via the notifications bell icon.</w:t>
      </w:r>
    </w:p>
    <w:p>
      <w:pPr>
        <w:pStyle w:val="ListParagraph"/>
        <w:numPr>
          <w:ilvl w:val="0"/>
          <w:numId w:val="2"/>
        </w:numPr>
        <w:spacing w:after="80"/>
      </w:pPr>
      <w:r>
        <w:rPr>
          <w:rFonts w:ascii="Arial" w:cs="Arial" w:eastAsia="Arial" w:hAnsi="Arial"/>
          <w:color w:val="333333"/>
          <w:sz w:val="22"/>
          <w:szCs w:val="22"/>
        </w:rPr>
        <w:t xml:space="preserve">Email: Configurable email notifications with one-click link to the relevant dashboard view.</w:t>
      </w:r>
    </w:p>
    <w:p>
      <w:pPr>
        <w:pStyle w:val="ListParagraph"/>
        <w:numPr>
          <w:ilvl w:val="0"/>
          <w:numId w:val="2"/>
        </w:numPr>
        <w:spacing w:after="80"/>
      </w:pPr>
      <w:r>
        <w:rPr>
          <w:rFonts w:ascii="Arial" w:cs="Arial" w:eastAsia="Arial" w:hAnsi="Arial"/>
          <w:color w:val="333333"/>
          <w:sz w:val="22"/>
          <w:szCs w:val="22"/>
        </w:rPr>
        <w:t xml:space="preserve">Weekly Digest: Optional weekly email summarizing all alerts and score changes across all tracked areas, with trend direction indicators.</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8.8 Page 6: Admin &amp; Data Entry Panel</w:t>
      </w:r>
    </w:p>
    <w:p>
      <w:pPr>
        <w:spacing w:after="120"/>
      </w:pPr>
      <w:r>
        <w:rPr>
          <w:rFonts w:ascii="Arial" w:cs="Arial" w:eastAsia="Arial" w:hAnsi="Arial"/>
          <w:color w:val="333333"/>
          <w:sz w:val="22"/>
          <w:szCs w:val="22"/>
        </w:rPr>
        <w:t xml:space="preserve">The Admin Panel is accessible only to users with Data Manager or Administrator roles. It is the operational back-end of the platform — the digital equivalent of the Excel workbook's data entry workflow, but with access control, audit logging, and data validation built in.</w:t>
      </w:r>
    </w:p>
    <w:p>
      <w:pPr>
        <w:spacing w:after="120"/>
      </w:pPr>
    </w:p>
    <w:p>
      <w:pPr>
        <w:spacing w:after="80" w:before="200"/>
      </w:pPr>
      <w:r>
        <w:rPr>
          <w:rFonts w:ascii="Arial" w:cs="Arial" w:eastAsia="Arial" w:hAnsi="Arial"/>
          <w:b/>
          <w:bCs/>
          <w:color w:val="333333"/>
          <w:sz w:val="22"/>
          <w:szCs w:val="22"/>
        </w:rPr>
        <w:t xml:space="preserve">Admin Panel Components</w:t>
      </w:r>
    </w:p>
    <w:p>
      <w:pPr>
        <w:pStyle w:val="ListParagraph"/>
        <w:numPr>
          <w:ilvl w:val="0"/>
          <w:numId w:val="2"/>
        </w:numPr>
        <w:spacing w:after="80"/>
      </w:pPr>
      <w:r>
        <w:rPr>
          <w:rFonts w:ascii="Arial" w:cs="Arial" w:eastAsia="Arial" w:hAnsi="Arial"/>
          <w:color w:val="333333"/>
          <w:sz w:val="22"/>
          <w:szCs w:val="22"/>
        </w:rPr>
        <w:t xml:space="preserve">Data Entry Form: For each tracked indicator, a structured form allows authorized users to enter the latest value, select the reporting period, specify the data source URL or document reference, and add any data quality notes.</w:t>
      </w:r>
    </w:p>
    <w:p>
      <w:pPr>
        <w:pStyle w:val="ListParagraph"/>
        <w:numPr>
          <w:ilvl w:val="0"/>
          <w:numId w:val="2"/>
        </w:numPr>
        <w:spacing w:after="80"/>
      </w:pPr>
      <w:r>
        <w:rPr>
          <w:rFonts w:ascii="Arial" w:cs="Arial" w:eastAsia="Arial" w:hAnsi="Arial"/>
          <w:color w:val="333333"/>
          <w:sz w:val="22"/>
          <w:szCs w:val="22"/>
        </w:rPr>
        <w:t xml:space="preserve">Bulk Import Tool: CSV upload for entering multiple indicator values at once. The import tool validates data types, checks for out-of-range values, and previews the changes before committing — preventing accidental overwrite of historical data.</w:t>
      </w:r>
    </w:p>
    <w:p>
      <w:pPr>
        <w:pStyle w:val="ListParagraph"/>
        <w:numPr>
          <w:ilvl w:val="0"/>
          <w:numId w:val="2"/>
        </w:numPr>
        <w:spacing w:after="80"/>
      </w:pPr>
      <w:r>
        <w:rPr>
          <w:rFonts w:ascii="Arial" w:cs="Arial" w:eastAsia="Arial" w:hAnsi="Arial"/>
          <w:color w:val="333333"/>
          <w:sz w:val="22"/>
          <w:szCs w:val="22"/>
        </w:rPr>
        <w:t xml:space="preserve">Data Source Registry: A managed list of all official data sources for each indicator, with links, refresh cadence, last-accessed date, and responsible data steward. Replaces the Data Governance sheet from the Excel workbook.</w:t>
      </w:r>
    </w:p>
    <w:p>
      <w:pPr>
        <w:pStyle w:val="ListParagraph"/>
        <w:numPr>
          <w:ilvl w:val="0"/>
          <w:numId w:val="2"/>
        </w:numPr>
        <w:spacing w:after="80"/>
      </w:pPr>
      <w:r>
        <w:rPr>
          <w:rFonts w:ascii="Arial" w:cs="Arial" w:eastAsia="Arial" w:hAnsi="Arial"/>
          <w:color w:val="333333"/>
          <w:sz w:val="22"/>
          <w:szCs w:val="22"/>
        </w:rPr>
        <w:t xml:space="preserve">User Management: Create, edit, and deactivate user accounts. Assign roles (Viewer, Analyst, Data Manager, Administrator). Set area access permissions (e.g., a local nonprofit may only need access to their county).</w:t>
      </w:r>
    </w:p>
    <w:p>
      <w:pPr>
        <w:pStyle w:val="ListParagraph"/>
        <w:numPr>
          <w:ilvl w:val="0"/>
          <w:numId w:val="2"/>
        </w:numPr>
        <w:spacing w:after="80"/>
      </w:pPr>
      <w:r>
        <w:rPr>
          <w:rFonts w:ascii="Arial" w:cs="Arial" w:eastAsia="Arial" w:hAnsi="Arial"/>
          <w:color w:val="333333"/>
          <w:sz w:val="22"/>
          <w:szCs w:val="22"/>
        </w:rPr>
        <w:t xml:space="preserve">Audit Log: Every data entry, edit, and deletion is logged with timestamp, user name, previous value, and new value. The audit log is immutable and exportable.</w:t>
      </w:r>
    </w:p>
    <w:p>
      <w:pPr>
        <w:pStyle w:val="ListParagraph"/>
        <w:numPr>
          <w:ilvl w:val="0"/>
          <w:numId w:val="2"/>
        </w:numPr>
        <w:spacing w:after="80"/>
      </w:pPr>
      <w:r>
        <w:rPr>
          <w:rFonts w:ascii="Arial" w:cs="Arial" w:eastAsia="Arial" w:hAnsi="Arial"/>
          <w:color w:val="333333"/>
          <w:sz w:val="22"/>
          <w:szCs w:val="22"/>
        </w:rPr>
        <w:t xml:space="preserve">FPL Calculator Tool: A built-in version of the Federal Poverty Level conversion table (Section C of the Excel), updated annually, accessible to all users from within the admin panel.</w:t>
      </w:r>
    </w:p>
    <w:p>
      <w:pPr>
        <w:spacing w:after="200"/>
      </w:pPr>
    </w:p>
    <w:p>
      <w:r>
        <w:br w:type="page"/>
      </w:r>
    </w:p>
    <w:p>
      <w:pPr>
        <w:pStyle w:val="Heading1"/>
        <w:spacing w:after="200" w:before="360"/>
      </w:pPr>
      <w:r>
        <w:rPr>
          <w:rFonts w:ascii="Arial" w:cs="Arial" w:eastAsia="Arial" w:hAnsi="Arial"/>
          <w:b/>
          <w:bCs/>
          <w:color w:val="1B3A5C"/>
          <w:sz w:val="36"/>
          <w:szCs w:val="36"/>
        </w:rPr>
        <w:t xml:space="preserve">9. Recommended Analytical Methodology Stack</w:t>
      </w:r>
    </w:p>
    <w:p>
      <w:pPr>
        <w:spacing w:after="120"/>
      </w:pPr>
      <w:r>
        <w:rPr>
          <w:rFonts w:ascii="Arial" w:cs="Arial" w:eastAsia="Arial" w:hAnsi="Arial"/>
          <w:color w:val="333333"/>
          <w:sz w:val="22"/>
          <w:szCs w:val="22"/>
        </w:rPr>
        <w:t xml:space="preserve">As the platform matures and accumulates multi-year longitudinal data, the simple weighted composite scoring model can be upgraded to more sophisticated predictive methodologies. The following table summarizes the full methodology stack, from the most immediately implementable approach to the most advanced long-term option.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800"/>
        <w:gridCol w:w="1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Limitations</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Weighted Composite Index (Current)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Immediate neighborhood risk scoring from 8 indicators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Simple, transparent, auditable; no training data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Linear; misses non-linear interactions between indicators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Excel / JavaScript in website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Bayesian Spatiotemporal CAR Model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Neighborhood-level nowcasting; small area estimation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Borrows strength across tracts; handles sparse data; quantifies uncertainty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Computationally intensive; requires prior specification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 (INLA package), Stan, or PyMC3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Random Forest / Gradient Boosting (GBM)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 selection; identifying top predictors across all 48 data 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Handles non-linear interactions; interpretable via SHAP values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clean labeled training data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(scikit-learn, XGBoost, LightGBM)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SARIMA (Seasonal ARIMA)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Longitudinal tracking of single neighborhood's trajectory over 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Handles seasonality explicitly; well-suited to energy and school cycles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Requires long time series; univariate by default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Python (statsmodels), R (forecast package)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LSTM Neural Network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Long-term pattern recognition; post-shock recovery curves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Learns complex multi-step dependencies across 50+ concurrent series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large training data; not interpretable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(TensorFlow / PyTorch)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World Bank SWIFT Protocol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Rapid field assessment (10–15 question survey)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Generates poverty probability without full income survey; deployable in 1 day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Static snapshot; misses dynamic intra-year changes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World Bank SWIFT toolkit; REDCap for surveys</w:t>
            </w:r>
          </w:p>
        </w:tc>
      </w:tr>
    </w:tbl>
    <w:p>
      <w:pPr>
        <w:spacing w:after="200"/>
      </w:pPr>
    </w:p>
    <w:p>
      <w:r>
        <w:br w:type="page"/>
      </w:r>
    </w:p>
    <w:p>
      <w:pPr>
        <w:pStyle w:val="Heading1"/>
        <w:spacing w:after="200" w:before="360"/>
      </w:pPr>
      <w:r>
        <w:rPr>
          <w:rFonts w:ascii="Arial" w:cs="Arial" w:eastAsia="Arial" w:hAnsi="Arial"/>
          <w:b/>
          <w:bCs/>
          <w:color w:val="1B3A5C"/>
          <w:sz w:val="36"/>
          <w:szCs w:val="36"/>
        </w:rPr>
        <w:t xml:space="preserve">10. Implementation Roadmap</w:t>
      </w:r>
    </w:p>
    <w:p>
      <w:pPr>
        <w:spacing w:after="120"/>
      </w:pPr>
      <w:r>
        <w:rPr>
          <w:rFonts w:ascii="Arial" w:cs="Arial" w:eastAsia="Arial" w:hAnsi="Arial"/>
          <w:color w:val="333333"/>
          <w:sz w:val="22"/>
          <w:szCs w:val="22"/>
        </w:rPr>
        <w:t xml:space="preserve">Building the full web platform is a phased project. The following roadmap outlines a practical sequencing from the existing Excel workbook to a fully featured multi-user platform.</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Phase 1: Static Web Dashboard (Months 1–2)</w:t>
      </w:r>
    </w:p>
    <w:p>
      <w:pPr>
        <w:spacing w:after="120"/>
      </w:pPr>
      <w:r>
        <w:rPr>
          <w:rFonts w:ascii="Arial" w:cs="Arial" w:eastAsia="Arial" w:hAnsi="Arial"/>
          <w:color w:val="333333"/>
          <w:sz w:val="22"/>
          <w:szCs w:val="22"/>
        </w:rPr>
        <w:t xml:space="preserve">Goal: Translate the Excel workbook into a read-only web dashboard that any user can access without an account. No data entry, no alerts — just a clean, visual presentation of the current Composite Risk Index and all supporting data points.</w:t>
      </w:r>
    </w:p>
    <w:p>
      <w:pPr>
        <w:spacing w:after="120"/>
      </w:pPr>
    </w:p>
    <w:p>
      <w:pPr>
        <w:pStyle w:val="ListParagraph"/>
        <w:numPr>
          <w:ilvl w:val="0"/>
          <w:numId w:val="2"/>
        </w:numPr>
        <w:spacing w:after="80"/>
      </w:pPr>
      <w:r>
        <w:rPr>
          <w:rFonts w:ascii="Arial" w:cs="Arial" w:eastAsia="Arial" w:hAnsi="Arial"/>
          <w:color w:val="333333"/>
          <w:sz w:val="22"/>
          <w:szCs w:val="22"/>
        </w:rPr>
        <w:t xml:space="preserve">Build the Area Overview Dashboard and Poverty Risk Score pages.</w:t>
      </w:r>
    </w:p>
    <w:p>
      <w:pPr>
        <w:pStyle w:val="ListParagraph"/>
        <w:numPr>
          <w:ilvl w:val="0"/>
          <w:numId w:val="2"/>
        </w:numPr>
        <w:spacing w:after="80"/>
      </w:pPr>
      <w:r>
        <w:rPr>
          <w:rFonts w:ascii="Arial" w:cs="Arial" w:eastAsia="Arial" w:hAnsi="Arial"/>
          <w:color w:val="333333"/>
          <w:sz w:val="22"/>
          <w:szCs w:val="22"/>
        </w:rPr>
        <w:t xml:space="preserve">Hard-code initial data values from the Excel workbook as the starting data set.</w:t>
      </w:r>
    </w:p>
    <w:p>
      <w:pPr>
        <w:pStyle w:val="ListParagraph"/>
        <w:numPr>
          <w:ilvl w:val="0"/>
          <w:numId w:val="2"/>
        </w:numPr>
        <w:spacing w:after="80"/>
      </w:pPr>
      <w:r>
        <w:rPr>
          <w:rFonts w:ascii="Arial" w:cs="Arial" w:eastAsia="Arial" w:hAnsi="Arial"/>
          <w:color w:val="333333"/>
          <w:sz w:val="22"/>
          <w:szCs w:val="22"/>
        </w:rPr>
        <w:t xml:space="preserve">Implement the Composite Risk Index calculator in JavaScript so the score recalculates automatically when data values are updated.</w:t>
      </w:r>
    </w:p>
    <w:p>
      <w:pPr>
        <w:pStyle w:val="ListParagraph"/>
        <w:numPr>
          <w:ilvl w:val="0"/>
          <w:numId w:val="2"/>
        </w:numPr>
        <w:spacing w:after="80"/>
      </w:pPr>
      <w:r>
        <w:rPr>
          <w:rFonts w:ascii="Arial" w:cs="Arial" w:eastAsia="Arial" w:hAnsi="Arial"/>
          <w:color w:val="333333"/>
          <w:sz w:val="22"/>
          <w:szCs w:val="22"/>
        </w:rPr>
        <w:t xml:space="preserve">Publish as a static web app (e.g., using React or Next.js deployed to Vercel or Netlify) — no backend required at this stage.</w:t>
      </w:r>
    </w:p>
    <w:p>
      <w:pPr>
        <w:pStyle w:val="Heading2"/>
        <w:pBdr>
          <w:bottom w:val="single" w:color="2E75B6" w:sz="4" w:space="4"/>
        </w:pBdr>
        <w:spacing w:after="160" w:before="300"/>
      </w:pPr>
      <w:r>
        <w:rPr>
          <w:rFonts w:ascii="Arial" w:cs="Arial" w:eastAsia="Arial" w:hAnsi="Arial"/>
          <w:b/>
          <w:bCs/>
          <w:color w:val="2E75B6"/>
          <w:sz w:val="28"/>
          <w:szCs w:val="28"/>
        </w:rPr>
        <w:t xml:space="preserve">Phase 2: Multi-User Platform with Data Entry (Months 3–5)</w:t>
      </w:r>
    </w:p>
    <w:p>
      <w:pPr>
        <w:spacing w:after="120"/>
      </w:pPr>
      <w:r>
        <w:rPr>
          <w:rFonts w:ascii="Arial" w:cs="Arial" w:eastAsia="Arial" w:hAnsi="Arial"/>
          <w:color w:val="333333"/>
          <w:sz w:val="22"/>
          <w:szCs w:val="22"/>
        </w:rPr>
        <w:t xml:space="preserve">Goal: Add user accounts, the Admin Panel, and the Data Explorer. Move data from hard-coded values to a structured database.</w:t>
      </w:r>
    </w:p>
    <w:p>
      <w:pPr>
        <w:spacing w:after="120"/>
      </w:pPr>
    </w:p>
    <w:p>
      <w:pPr>
        <w:pStyle w:val="ListParagraph"/>
        <w:numPr>
          <w:ilvl w:val="0"/>
          <w:numId w:val="2"/>
        </w:numPr>
        <w:spacing w:after="80"/>
      </w:pPr>
      <w:r>
        <w:rPr>
          <w:rFonts w:ascii="Arial" w:cs="Arial" w:eastAsia="Arial" w:hAnsi="Arial"/>
          <w:color w:val="333333"/>
          <w:sz w:val="22"/>
          <w:szCs w:val="22"/>
        </w:rPr>
        <w:t xml:space="preserve">Add a PostgreSQL or Supabase backend to store indicator values, historical data, and user accounts.</w:t>
      </w:r>
    </w:p>
    <w:p>
      <w:pPr>
        <w:pStyle w:val="ListParagraph"/>
        <w:numPr>
          <w:ilvl w:val="0"/>
          <w:numId w:val="2"/>
        </w:numPr>
        <w:spacing w:after="80"/>
      </w:pPr>
      <w:r>
        <w:rPr>
          <w:rFonts w:ascii="Arial" w:cs="Arial" w:eastAsia="Arial" w:hAnsi="Arial"/>
          <w:color w:val="333333"/>
          <w:sz w:val="22"/>
          <w:szCs w:val="22"/>
        </w:rPr>
        <w:t xml:space="preserve">Build the Admin Panel with secure data entry forms, bulk CSV import, and audit logging.</w:t>
      </w:r>
    </w:p>
    <w:p>
      <w:pPr>
        <w:pStyle w:val="ListParagraph"/>
        <w:numPr>
          <w:ilvl w:val="0"/>
          <w:numId w:val="2"/>
        </w:numPr>
        <w:spacing w:after="80"/>
      </w:pPr>
      <w:r>
        <w:rPr>
          <w:rFonts w:ascii="Arial" w:cs="Arial" w:eastAsia="Arial" w:hAnsi="Arial"/>
          <w:color w:val="333333"/>
          <w:sz w:val="22"/>
          <w:szCs w:val="22"/>
        </w:rPr>
        <w:t xml:space="preserve">Implement role-based access control (Viewer, Analyst, Data Manager, Administrator).</w:t>
      </w:r>
    </w:p>
    <w:p>
      <w:pPr>
        <w:pStyle w:val="ListParagraph"/>
        <w:numPr>
          <w:ilvl w:val="0"/>
          <w:numId w:val="2"/>
        </w:numPr>
        <w:spacing w:after="80"/>
      </w:pPr>
      <w:r>
        <w:rPr>
          <w:rFonts w:ascii="Arial" w:cs="Arial" w:eastAsia="Arial" w:hAnsi="Arial"/>
          <w:color w:val="333333"/>
          <w:sz w:val="22"/>
          <w:szCs w:val="22"/>
        </w:rPr>
        <w:t xml:space="preserve">Enable area selection — users can switch between tracked neighborhoods/ZIP codes/counties.</w:t>
      </w:r>
    </w:p>
    <w:p>
      <w:pPr>
        <w:pStyle w:val="Heading2"/>
        <w:pBdr>
          <w:bottom w:val="single" w:color="2E75B6" w:sz="4" w:space="4"/>
        </w:pBdr>
        <w:spacing w:after="160" w:before="300"/>
      </w:pPr>
      <w:r>
        <w:rPr>
          <w:rFonts w:ascii="Arial" w:cs="Arial" w:eastAsia="Arial" w:hAnsi="Arial"/>
          <w:b/>
          <w:bCs/>
          <w:color w:val="2E75B6"/>
          <w:sz w:val="28"/>
          <w:szCs w:val="28"/>
        </w:rPr>
        <w:t xml:space="preserve">Phase 3: Trend Analysis &amp; Alerts (Months 6–8)</w:t>
      </w:r>
    </w:p>
    <w:p>
      <w:pPr>
        <w:spacing w:after="120"/>
      </w:pPr>
      <w:r>
        <w:rPr>
          <w:rFonts w:ascii="Arial" w:cs="Arial" w:eastAsia="Arial" w:hAnsi="Arial"/>
          <w:color w:val="333333"/>
          <w:sz w:val="22"/>
          <w:szCs w:val="22"/>
        </w:rPr>
        <w:t xml:space="preserve">Goal: Add the Trend Analysis page, configurable alert thresholds, and the automated notification system.</w:t>
      </w:r>
    </w:p>
    <w:p>
      <w:pPr>
        <w:spacing w:after="120"/>
      </w:pPr>
    </w:p>
    <w:p>
      <w:pPr>
        <w:pStyle w:val="ListParagraph"/>
        <w:numPr>
          <w:ilvl w:val="0"/>
          <w:numId w:val="2"/>
        </w:numPr>
        <w:spacing w:after="80"/>
      </w:pPr>
      <w:r>
        <w:rPr>
          <w:rFonts w:ascii="Arial" w:cs="Arial" w:eastAsia="Arial" w:hAnsi="Arial"/>
          <w:color w:val="333333"/>
          <w:sz w:val="22"/>
          <w:szCs w:val="22"/>
        </w:rPr>
        <w:t xml:space="preserve">Build the Trend Analysis page with multi-indicator time-series charts (using Chart.js or D3.js).</w:t>
      </w:r>
    </w:p>
    <w:p>
      <w:pPr>
        <w:pStyle w:val="ListParagraph"/>
        <w:numPr>
          <w:ilvl w:val="0"/>
          <w:numId w:val="2"/>
        </w:numPr>
        <w:spacing w:after="80"/>
      </w:pPr>
      <w:r>
        <w:rPr>
          <w:rFonts w:ascii="Arial" w:cs="Arial" w:eastAsia="Arial" w:hAnsi="Arial"/>
          <w:color w:val="333333"/>
          <w:sz w:val="22"/>
          <w:szCs w:val="22"/>
        </w:rPr>
        <w:t xml:space="preserve">Implement the threshold alert system and email notification infrastructure (e.g., using SendGrid).</w:t>
      </w:r>
    </w:p>
    <w:p>
      <w:pPr>
        <w:pStyle w:val="ListParagraph"/>
        <w:numPr>
          <w:ilvl w:val="0"/>
          <w:numId w:val="2"/>
        </w:numPr>
        <w:spacing w:after="80"/>
      </w:pPr>
      <w:r>
        <w:rPr>
          <w:rFonts w:ascii="Arial" w:cs="Arial" w:eastAsia="Arial" w:hAnsi="Arial"/>
          <w:color w:val="333333"/>
          <w:sz w:val="22"/>
          <w:szCs w:val="22"/>
        </w:rPr>
        <w:t xml:space="preserve">Add seasonal adjustment toggles and annotation layer.</w:t>
      </w:r>
    </w:p>
    <w:p>
      <w:pPr>
        <w:pStyle w:val="ListParagraph"/>
        <w:numPr>
          <w:ilvl w:val="0"/>
          <w:numId w:val="2"/>
        </w:numPr>
        <w:spacing w:after="80"/>
      </w:pPr>
      <w:r>
        <w:rPr>
          <w:rFonts w:ascii="Arial" w:cs="Arial" w:eastAsia="Arial" w:hAnsi="Arial"/>
          <w:color w:val="333333"/>
          <w:sz w:val="22"/>
          <w:szCs w:val="22"/>
        </w:rPr>
        <w:t xml:space="preserve">Build the weekly digest email template.</w:t>
      </w:r>
    </w:p>
    <w:p>
      <w:pPr>
        <w:pStyle w:val="Heading2"/>
        <w:pBdr>
          <w:bottom w:val="single" w:color="2E75B6" w:sz="4" w:space="4"/>
        </w:pBdr>
        <w:spacing w:after="160" w:before="300"/>
      </w:pPr>
      <w:r>
        <w:rPr>
          <w:rFonts w:ascii="Arial" w:cs="Arial" w:eastAsia="Arial" w:hAnsi="Arial"/>
          <w:b/>
          <w:bCs/>
          <w:color w:val="2E75B6"/>
          <w:sz w:val="28"/>
          <w:szCs w:val="28"/>
        </w:rPr>
        <w:t xml:space="preserve">Phase 4: Advanced Analytics &amp; API Integration (Months 9–12+)</w:t>
      </w:r>
    </w:p>
    <w:p>
      <w:pPr>
        <w:spacing w:after="120"/>
      </w:pPr>
      <w:r>
        <w:rPr>
          <w:rFonts w:ascii="Arial" w:cs="Arial" w:eastAsia="Arial" w:hAnsi="Arial"/>
          <w:color w:val="333333"/>
          <w:sz w:val="22"/>
          <w:szCs w:val="22"/>
        </w:rPr>
        <w:t xml:space="preserve">Goal: Connect to live data APIs, implement the Bayesian spatiotemporal model, and launch advanced analytics features.</w:t>
      </w:r>
    </w:p>
    <w:p>
      <w:pPr>
        <w:spacing w:after="120"/>
      </w:pPr>
    </w:p>
    <w:p>
      <w:pPr>
        <w:pStyle w:val="ListParagraph"/>
        <w:numPr>
          <w:ilvl w:val="0"/>
          <w:numId w:val="2"/>
        </w:numPr>
        <w:spacing w:after="80"/>
      </w:pPr>
      <w:r>
        <w:rPr>
          <w:rFonts w:ascii="Arial" w:cs="Arial" w:eastAsia="Arial" w:hAnsi="Arial"/>
          <w:color w:val="333333"/>
          <w:sz w:val="22"/>
          <w:szCs w:val="22"/>
        </w:rPr>
        <w:t xml:space="preserve">Integrate the Eviction Lab API for automated H1 and H2 data ingestion.</w:t>
      </w:r>
    </w:p>
    <w:p>
      <w:pPr>
        <w:pStyle w:val="ListParagraph"/>
        <w:numPr>
          <w:ilvl w:val="0"/>
          <w:numId w:val="2"/>
        </w:numPr>
        <w:spacing w:after="80"/>
      </w:pPr>
      <w:r>
        <w:rPr>
          <w:rFonts w:ascii="Arial" w:cs="Arial" w:eastAsia="Arial" w:hAnsi="Arial"/>
          <w:color w:val="333333"/>
          <w:sz w:val="22"/>
          <w:szCs w:val="22"/>
        </w:rPr>
        <w:t xml:space="preserve">Connect to the USDA FNS data portal for automated SNAP caseload updates (N1).</w:t>
      </w:r>
    </w:p>
    <w:p>
      <w:pPr>
        <w:pStyle w:val="ListParagraph"/>
        <w:numPr>
          <w:ilvl w:val="0"/>
          <w:numId w:val="2"/>
        </w:numPr>
        <w:spacing w:after="80"/>
      </w:pPr>
      <w:r>
        <w:rPr>
          <w:rFonts w:ascii="Arial" w:cs="Arial" w:eastAsia="Arial" w:hAnsi="Arial"/>
          <w:color w:val="333333"/>
          <w:sz w:val="22"/>
          <w:szCs w:val="22"/>
        </w:rPr>
        <w:t xml:space="preserve">Implement the Bayesian CAR model as a background computation service.</w:t>
      </w:r>
    </w:p>
    <w:p>
      <w:pPr>
        <w:pStyle w:val="ListParagraph"/>
        <w:numPr>
          <w:ilvl w:val="0"/>
          <w:numId w:val="2"/>
        </w:numPr>
        <w:spacing w:after="80"/>
      </w:pPr>
      <w:r>
        <w:rPr>
          <w:rFonts w:ascii="Arial" w:cs="Arial" w:eastAsia="Arial" w:hAnsi="Arial"/>
          <w:color w:val="333333"/>
          <w:sz w:val="22"/>
          <w:szCs w:val="22"/>
        </w:rPr>
        <w:t xml:space="preserve">Build the Lead-Lag Analysis Tool for advanced users.</w:t>
      </w:r>
    </w:p>
    <w:p>
      <w:pPr>
        <w:pStyle w:val="ListParagraph"/>
        <w:numPr>
          <w:ilvl w:val="0"/>
          <w:numId w:val="2"/>
        </w:numPr>
        <w:spacing w:after="80"/>
      </w:pPr>
      <w:r>
        <w:rPr>
          <w:rFonts w:ascii="Arial" w:cs="Arial" w:eastAsia="Arial" w:hAnsi="Arial"/>
          <w:color w:val="333333"/>
          <w:sz w:val="22"/>
          <w:szCs w:val="22"/>
        </w:rPr>
        <w:t xml:space="preserve">Launch mobile-optimized view for field workers.</w:t>
      </w:r>
    </w:p>
    <w:p>
      <w:pPr>
        <w:spacing w:after="200"/>
      </w:pPr>
    </w:p>
    <w:p>
      <w:r>
        <w:br w:type="page"/>
      </w:r>
    </w:p>
    <w:p>
      <w:pPr>
        <w:pStyle w:val="Heading1"/>
        <w:spacing w:after="200" w:before="360"/>
      </w:pPr>
      <w:r>
        <w:rPr>
          <w:rFonts w:ascii="Arial" w:cs="Arial" w:eastAsia="Arial" w:hAnsi="Arial"/>
          <w:b/>
          <w:bCs/>
          <w:color w:val="1B3A5C"/>
          <w:sz w:val="36"/>
          <w:szCs w:val="36"/>
        </w:rPr>
        <w:t xml:space="preserve">11. Recommended Technical Stack</w:t>
      </w:r>
    </w:p>
    <w:p>
      <w:pPr>
        <w:spacing w:after="120"/>
      </w:pPr>
      <w:r>
        <w:rPr>
          <w:rFonts w:ascii="Arial" w:cs="Arial" w:eastAsia="Arial" w:hAnsi="Arial"/>
          <w:color w:val="333333"/>
          <w:sz w:val="22"/>
          <w:szCs w:val="22"/>
        </w:rPr>
        <w:t xml:space="preserve">The following technology choices are recommended based on the platform requirements: multi-user access, real-time data updates, interactive charting, and secure data entry.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Technology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 Framework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with Next.js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Server-side rendering for fast initial load; excellent component ecosystem for dashboards; Vercel deployment is frictionless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 Visualization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Recharts or Chart.js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Well-maintained, React-compatible charting libraries with support for time-series, bar, and composite charts. D3.js for advanced custom visualizations.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Mapping / Geographic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Mapbox GL JS or Leaflet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tract and ZIP code level choropleth maps for visualizing the risk index geographically. Mapbox has free tier with generous limits.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Backend / API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Node.js with Express, or Supabase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RESTful API for data entry and retrieval. Supabase provides instant API generation over PostgreSQL with built-in auth — ideal for 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(via Supabase)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Relational structure suits the indicator × area × time data model. Time-series queries are efficient. Row-level security for multi-user access control.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Auth0 or Supabase Auth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Secure, standards-based user authentication with role management. Social login (Google) reduces signup friction.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 / Deployment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 (frontend) + Supabase (backend)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Zero-config deployment for Next.js on Vercel. Supabase handles database, API, and auth on a single managed platform.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Email Notifications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SendGrid or Resend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Reliable transactional email for threshold alerts and weekly digests. Both offer free tiers suitable for the initial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Advanced Analytics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(PyMC3, scikit-learn)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Background computation service for the Bayesian model and machine learning feature selection. Can be deployed as a serverless function or dedicated API endpoint.</w:t>
            </w:r>
          </w:p>
        </w:tc>
      </w:tr>
    </w:tbl>
    <w:p>
      <w:pPr>
        <w:spacing w:after="200"/>
      </w:pPr>
    </w:p>
    <w:p>
      <w:r>
        <w:br w:type="page"/>
      </w:r>
    </w:p>
    <w:p>
      <w:pPr>
        <w:pStyle w:val="Heading1"/>
        <w:spacing w:after="200" w:before="360"/>
      </w:pPr>
      <w:r>
        <w:rPr>
          <w:rFonts w:ascii="Arial" w:cs="Arial" w:eastAsia="Arial" w:hAnsi="Arial"/>
          <w:b/>
          <w:bCs/>
          <w:color w:val="1B3A5C"/>
          <w:sz w:val="36"/>
          <w:szCs w:val="36"/>
        </w:rPr>
        <w:t xml:space="preserve">12. Database Schema &amp; Data Model</w:t>
      </w:r>
    </w:p>
    <w:p>
      <w:pPr>
        <w:spacing w:after="120"/>
      </w:pPr>
      <w:r>
        <w:rPr>
          <w:rFonts w:ascii="Arial" w:cs="Arial" w:eastAsia="Arial" w:hAnsi="Arial"/>
          <w:color w:val="333333"/>
          <w:sz w:val="22"/>
          <w:szCs w:val="22"/>
        </w:rPr>
        <w:t xml:space="preserve">The core data model is designed to store indicator values across multiple areas and time periods, enabling both current-state dashboards and historical trend analysis. The following tables form the backbone of the platform's data layer.</w:t>
      </w:r>
    </w:p>
    <w:p>
      <w:pPr>
        <w:spacing w:after="120"/>
      </w:pPr>
    </w:p>
    <w:p>
      <w:pPr>
        <w:pStyle w:val="Heading2"/>
        <w:pBdr>
          <w:bottom w:val="single" w:color="2E75B6" w:sz="4" w:space="4"/>
        </w:pBdr>
        <w:spacing w:after="160" w:before="300"/>
      </w:pPr>
      <w:r>
        <w:rPr>
          <w:rFonts w:ascii="Arial" w:cs="Arial" w:eastAsia="Arial" w:hAnsi="Arial"/>
          <w:b/>
          <w:bCs/>
          <w:color w:val="2E75B6"/>
          <w:sz w:val="28"/>
          <w:szCs w:val="28"/>
        </w:rPr>
        <w:t xml:space="preserve">12.1 Core Database Tables</w:t>
      </w:r>
    </w:p>
    <w:p>
      <w:pPr>
        <w:spacing w:after="80" w:before="200"/>
      </w:pPr>
      <w:r>
        <w:rPr>
          <w:rFonts w:ascii="Arial" w:cs="Arial" w:eastAsia="Arial" w:hAnsi="Arial"/>
          <w:b/>
          <w:bCs/>
          <w:color w:val="333333"/>
          <w:sz w:val="22"/>
          <w:szCs w:val="22"/>
        </w:rPr>
        <w:t xml:space="preserve">Table: indicators</w:t>
      </w:r>
    </w:p>
    <w:p>
      <w:pPr>
        <w:spacing w:after="120"/>
      </w:pPr>
      <w:r>
        <w:rPr>
          <w:rFonts w:ascii="Arial" w:cs="Arial" w:eastAsia="Arial" w:hAnsi="Arial"/>
          <w:color w:val="333333"/>
          <w:sz w:val="22"/>
          <w:szCs w:val="22"/>
        </w:rPr>
        <w:t xml:space="preserve">Stores the static definition of each data point. Populated once from the Master Data Points sheet and updated only when the framework is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e.g., 'H1', 'E2', 'F4' — matches the Excel Data Point 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e.g., 'Housing Instability', 'Energy Insecurity'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indicator name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definition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Plain-language definition from the Data Points sheet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signal_type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 'Concurrent', 'Lagging', or 'Structural'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data_source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Primary data source name and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geo_level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'Census Tract', 'ZIP Code', 'County', etc.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update_frequency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'Monthly', 'Quarterly', 'Annual', 'Static'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priority_score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 (1–5)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Predictive importance score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composite_weight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Weight in the Composite Risk Index (null if not in index)</w:t>
            </w:r>
          </w:p>
        </w:tc>
      </w:tr>
    </w:tbl>
    <w:p>
      <w:pPr>
        <w:spacing w:after="200"/>
      </w:pPr>
    </w:p>
    <w:p>
      <w:pPr>
        <w:spacing w:after="80" w:before="200"/>
      </w:pPr>
      <w:r>
        <w:rPr>
          <w:rFonts w:ascii="Arial" w:cs="Arial" w:eastAsia="Arial" w:hAnsi="Arial"/>
          <w:b/>
          <w:bCs/>
          <w:color w:val="333333"/>
          <w:sz w:val="22"/>
          <w:szCs w:val="22"/>
        </w:rPr>
        <w:t xml:space="preserve">Table: areas</w:t>
      </w:r>
    </w:p>
    <w:p>
      <w:pPr>
        <w:spacing w:after="120"/>
      </w:pPr>
      <w:r>
        <w:rPr>
          <w:rFonts w:ascii="Arial" w:cs="Arial" w:eastAsia="Arial" w:hAnsi="Arial"/>
          <w:color w:val="333333"/>
          <w:sz w:val="22"/>
          <w:szCs w:val="22"/>
        </w:rPr>
        <w:t xml:space="preserve">Stores the geographic areas tracked by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Human-readable name (e.g., 'South Bronx, NY — ZIP 10451')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geo_type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'ZIP Code', 'Census Tract', 'County', 'City'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geo_id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FIPS code, ZIP, or other standard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Two-letter state abbreviation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latitude / longitude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Centroid coordinates for map display</w:t>
            </w:r>
          </w:p>
        </w:tc>
      </w:tr>
    </w:tbl>
    <w:p>
      <w:pPr>
        <w:spacing w:after="200"/>
      </w:pPr>
    </w:p>
    <w:p>
      <w:pPr>
        <w:spacing w:after="80" w:before="200"/>
      </w:pPr>
      <w:r>
        <w:rPr>
          <w:rFonts w:ascii="Arial" w:cs="Arial" w:eastAsia="Arial" w:hAnsi="Arial"/>
          <w:b/>
          <w:bCs/>
          <w:color w:val="333333"/>
          <w:sz w:val="22"/>
          <w:szCs w:val="22"/>
        </w:rPr>
        <w:t xml:space="preserve">Table: indicator_values</w:t>
      </w:r>
    </w:p>
    <w:p>
      <w:pPr>
        <w:spacing w:after="120"/>
      </w:pPr>
      <w:r>
        <w:rPr>
          <w:rFonts w:ascii="Arial" w:cs="Arial" w:eastAsia="Arial" w:hAnsi="Arial"/>
          <w:color w:val="333333"/>
          <w:sz w:val="22"/>
          <w:szCs w:val="22"/>
        </w:rPr>
        <w:t xml:space="preserve">The primary fact table. Stores the actual observed values for each indicator, area, and time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indicator_id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VARCHAR(10)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FK → indicators.id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area_id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areas.id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period_start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Start of reporting period (e.g., 2025-01-01 for January 2025)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period_end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End of reporting period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raw observed value (rate, count, score,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link to the source document or data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 quality notes or methodological caveats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users.id — who entered or imported this 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entered_at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When the value was entered (audit trail)</w:t>
            </w:r>
          </w:p>
        </w:tc>
      </w:tr>
    </w:tbl>
    <w:p>
      <w:pPr>
        <w:spacing w:after="200"/>
      </w:pPr>
    </w:p>
    <w:p>
      <w:r>
        <w:br w:type="page"/>
      </w:r>
    </w:p>
    <w:p>
      <w:pPr>
        <w:pStyle w:val="Heading1"/>
        <w:spacing w:after="200" w:before="360"/>
      </w:pPr>
      <w:r>
        <w:rPr>
          <w:rFonts w:ascii="Arial" w:cs="Arial" w:eastAsia="Arial" w:hAnsi="Arial"/>
          <w:b/>
          <w:bCs/>
          <w:color w:val="1B3A5C"/>
          <w:sz w:val="36"/>
          <w:szCs w:val="36"/>
        </w:rPr>
        <w:t xml:space="preserve">13. Glossary of Key Terms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ACS (American Community Survey)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 Census Bureau survey of approximately 3.5 million households. Primary source for income, housing, employment, and demographic data at the census tract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Benefits Cliff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income threshold at which a modest wage increase causes a household to lose more in benefits (SNAP, Medicaid, childcare subsidies) than it gains in earnings, trapping families at low income levels.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 Model (Conditionally Autoregressive)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Bayesian spatial statistics model that accounts for geographic correlation — the fact that neighboring census tracts tend to have similar poverty conditions — to produce more accurate small-area estimates.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CDFI (Community Development Financial Institution)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Treasury-certified financial institutions that provide credit and financial services to underserved markets, serving as a counter to predatory lenders.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Composite Risk 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framework's primary output: a weighted 0–100 score combining eight key indicators from four layers. Higher scores indicate greater poverty risk.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EITC (Earned Income Tax Credit)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 federal tax credit for low- and moderate-income workers. One of the most effective anti-poverty tools in the federal budget. Non-take-up rate (P1) is tracked as a sign of disconnection from the tax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Eviction Filing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number of eviction cases filed in court per 100 renter households in a given area and period. Distinguished from eviction judgment rate — filing alone indicates stress even without a formal eviction.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FPL (Federal Poverty Level)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 income threshold published by HHS. Used to determine eligibility for federal programs: 100% FPL is the baseline, 130% is SNAP, 200% is Medicaid in most states.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Intergenerational Mobility Rank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From Harvard's Opportunity Atlas: the probability that a child born to parents in the bottom income quintile will reach the top quintile as an adult. One of the most powerful structural predictors in the framework.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 Indicator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 data point that moves ahead of the outcome it predicts by days, weeks, or months. Eviction filing rates, disconnection notices, and payday loan inquiries are leading indicators of poverty.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LIHEAP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Low Income Home Energy Assistance Program. Federal program that helps low-income households cover heating and cooling costs. Application rate (E5) is used as a proxy for energy poverty.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MPI (Multidimensional Poverty Index)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 composite index measuring poverty across three dimensions (health, education, living standards) using ten indicators. Adaptable to neighborhood-level profiling.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Nowcasting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Estimating the current state of a condition using available real-time proxy indicators, as opposed to waiting for official statistical releases that describe past conditions.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OPM (Official Poverty Measure)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federal government's primary poverty measure, unchanged in methodology since 1963. Counts only gross pre-tax cash income; does not account for non-cash benefits, taxes, or geographic cost differences.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Poverty Crystallization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process by which temporary financial hardship becomes entrenched, multi-generational poverty due to uninterrupted compounding of debt, housing instability, educational disruption, and community disinvestment.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SNAP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Supplemental Nutrition Assistance Program (formerly food stamps). Monthly changes in SNAP caseload (N1) are among the most responsive real-time indicators of food insecurity and income shocks.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SPM (Supplemental Poverty Measure)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more comprehensive poverty measure than the OPM. Accounts for non-cash benefits, taxes, work expenses, and geographic cost variations. Preferred for policy analysis.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SWIFT Protocol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World Bank's Survey of Well-Being via Instant and Frequent Tracking: a 10–15 question survey instrument that uses machine learning to estimate household poverty probability without requiring a full consumption survey.</w:t>
            </w:r>
          </w:p>
        </w:tc>
      </w:tr>
    </w:tbl>
    <w:p>
      <w:pPr>
        <w:spacing w:after="200"/>
      </w:pPr>
    </w:p>
    <w:p>
      <w:r>
        <w:br w:type="page"/>
      </w:r>
    </w:p>
    <w:p>
      <w:pPr>
        <w:pStyle w:val="Heading1"/>
        <w:spacing w:after="200" w:before="360"/>
      </w:pPr>
      <w:r>
        <w:rPr>
          <w:rFonts w:ascii="Arial" w:cs="Arial" w:eastAsia="Arial" w:hAnsi="Arial"/>
          <w:b/>
          <w:bCs/>
          <w:color w:val="1B3A5C"/>
          <w:sz w:val="36"/>
          <w:szCs w:val="36"/>
        </w:rPr>
        <w:t xml:space="preserve">Appendix A: Data Point Quick Reference — All 48 Indicators</w:t>
      </w:r>
    </w:p>
    <w:p>
      <w:pPr>
        <w:spacing w:after="120"/>
      </w:pPr>
      <w:r>
        <w:rPr>
          <w:rFonts w:ascii="Arial" w:cs="Arial" w:eastAsia="Arial" w:hAnsi="Arial"/>
          <w:color w:val="333333"/>
          <w:sz w:val="22"/>
          <w:szCs w:val="22"/>
        </w:rPr>
        <w:t xml:space="preserve">Complete listing of all 48 data points organized by category, with ID, name, signal type, update frequency, and priority score.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100"/>
        <w:gridCol w:w="1200"/>
        <w:gridCol w:w="1500"/>
        <w:gridCol w:w="11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 Name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Type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Housing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Eviction Filing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Housing</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Serial Eviction Filings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Housing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 Rent Threshold (Avg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Housing</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Corporate Owner Tax Delinquency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Housing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Shelter Application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Lagging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Housing</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Vacancy Rate (Distressed)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Housing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Rent-Burden Rate (&gt;50% Income on Rent)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Energy</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Final Disconnection Notice Volume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Energy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 Disconnection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Lagging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Energy</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Utility Arrearages (Avg $ Owed)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Energy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Thermal Discomfort Self-Report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Energy</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LIHEAP Application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Payday Lender Storefront Density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Financial</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Payday Loan Inquiry Volume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Neighborhood Average Credit 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Financial</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Debt-in-Collections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Bank Branch Density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Financial</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Subprime Credit Share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Broadband Subscription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Digital</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Smartphone-Only Internet Dependency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MDLS Deficit Score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Digital</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Library Internet Use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Labor &amp; Income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Neighborhood Unemployment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Labor &amp; Income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Labor Force Participation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Labor &amp; Income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Wage Growth vs. Inflation Spread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Labor &amp; Income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Gig Economy Participation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Labor &amp; Income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Median Household Income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Labor &amp; Income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Benefits Cliff Incidence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Food &amp; Health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SNAP Caseload Change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Food &amp; Health</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Free &amp; Reduced Lunch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Food &amp; Health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Food Pantry Demand Surge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Food &amp; Health</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Child Food Insecurity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Food &amp; Health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Preventable ER Visit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Food &amp; Health</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Uninsured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Education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School Graduation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Education</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Intergenerational Income Mobility Rank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Structural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Education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Chronic Absenteeism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Education</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College Enrollment Rate (Low-Income)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Commercial Vacancy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Infrastructure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Public Transit Access Score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 Pipe Prevalence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Infrastructure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Park &amp; Green Space Access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Structural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Capital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Economic Connectedness Index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Social Capital</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Civic Participation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Biennial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Capital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Non-Profit Density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Policy &amp; Safety Net</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EITC Claim 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Policy &amp; Safety Net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Medicaid/CHIP Enrollment 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Policy &amp; Safety Net</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Housing Voucher Waitlist Length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Policy &amp; Safety Net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Child Tax Credit Non-Take-Up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bl>
    <w:p>
      <w:pPr>
        <w:spacing w:after="400"/>
      </w:pPr>
    </w:p>
    <w:p>
      <w:pPr>
        <w:pBdr>
          <w:top w:val="single" w:color="DDDDDD" w:sz="4"/>
        </w:pBdr>
        <w:spacing w:before="200"/>
        <w:jc w:val="center"/>
      </w:pPr>
      <w:r>
        <w:rPr>
          <w:rFonts w:ascii="Arial" w:cs="Arial" w:eastAsia="Arial" w:hAnsi="Arial"/>
          <w:color w:val="888888"/>
          <w:sz w:val="18"/>
          <w:szCs w:val="18"/>
        </w:rPr>
        <w:t xml:space="preserve">Predictive Poverty Tracker — System Documentation v1.0  |  </w:t>
      </w:r>
      <w:r>
        <w:rPr>
          <w:rFonts w:ascii="Arial" w:cs="Arial" w:eastAsia="Arial" w:hAnsi="Arial"/>
          <w:color w:val="888888"/>
          <w:sz w:val="18"/>
          <w:szCs w:val="18"/>
        </w:rPr>
        <w:t xml:space="preserve">Prepared 2025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pPr>
    <w:r>
      <w:rPr>
        <w:rFonts w:ascii="Arial" w:cs="Arial" w:eastAsia="Arial" w:hAnsi="Arial"/>
        <w:color w:val="2E75B6"/>
        <w:sz w:val="18"/>
        <w:szCs w:val="18"/>
      </w:rPr>
      <w:t xml:space="preserve">Predictive Poverty Tracker — System Documentation</w:t>
    </w:r>
    <w:r>
      <w:rPr>
        <w:sz w:val="18"/>
        <w:szCs w:val="18"/>
      </w:rPr>
      <w:t xml:space="preserve">	</w:t>
    </w:r>
    <w:r>
      <w:rPr>
        <w:rFonts w:ascii="Arial" w:cs="Arial" w:eastAsia="Arial" w:hAnsi="Arial"/>
        <w:color w:val="888888"/>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E66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2026-04-23T22:30:58.107Z</dcterms:created>
  <dcterms:modified xsi:type="dcterms:W3CDTF">2026-04-23T22:30:58.108Z</dcterms:modified>
</cp:coreProperties>
</file>

<file path=docProps/custom.xml><?xml version="1.0" encoding="utf-8"?>
<Properties xmlns="http://schemas.openxmlformats.org/officeDocument/2006/custom-properties" xmlns:vt="http://schemas.openxmlformats.org/officeDocument/2006/docPropsVTypes"/>
</file>