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6C757D"/>
          <w:sz w:val="18"/>
        </w:rPr>
        <w:t>ACADEMIC RESEARCH REPORT | DEPARTMENT OF CYBERSECURITY</w:t>
      </w:r>
    </w:p>
    <w:p>
      <w:pPr>
        <w:spacing w:before="720" w:after="240"/>
      </w:pPr>
      <w:r>
        <w:rPr>
          <w:b/>
          <w:color w:val="1B365D"/>
          <w:sz w:val="48"/>
        </w:rPr>
        <w:t>Digital Exhaust: Metadata Privacy Risks and Mitigation via the Metadata Anonymisation Toolkit (MAT2)</w:t>
      </w:r>
    </w:p>
    <w:p>
      <w:pPr>
        <w:spacing w:after="480"/>
      </w:pPr>
      <w:r>
        <w:rPr>
          <w:i/>
          <w:color w:val="00838F"/>
          <w:sz w:val="26"/>
        </w:rPr>
        <w:t>Course: Introduction to Cybersecurity</w:t>
      </w:r>
    </w:p>
    <w:tbl>
      <w:tblPr>
        <w:tblW w:type="auto" w:w="0"/>
        <w:jc w:val="center"/>
        <w:tblLayout w:type="fixed"/>
        <w:tblLook w:firstColumn="1" w:firstRow="1" w:lastColumn="0" w:lastRow="0" w:noHBand="0" w:noVBand="1" w:val="04A0"/>
      </w:tblPr>
      <w:tblGrid>
        <w:gridCol w:w="3010"/>
        <w:gridCol w:w="3010"/>
        <w:gridCol w:w="3010"/>
      </w:tblGrid>
      <w:tr>
        <w:tc>
          <w:tcPr>
            <w:tcW w:type="dxa" w:w="3600"/>
            <w:shd w:fill="1B365D"/>
            <w:tcMar>
              <w:top w:w="140" w:type="dxa"/>
              <w:bottom w:w="140" w:type="dxa"/>
              <w:left w:w="150" w:type="dxa"/>
              <w:right w:w="150" w:type="dxa"/>
            </w:tcMar>
          </w:tcPr>
          <w:p>
            <w:pPr>
              <w:jc w:val="left"/>
            </w:pPr>
            <w:r>
              <w:rPr>
                <w:b/>
                <w:color w:val="FFFFFF"/>
              </w:rPr>
              <w:t>Student Name</w:t>
            </w:r>
          </w:p>
        </w:tc>
        <w:tc>
          <w:tcPr>
            <w:tcW w:type="dxa" w:w="2592"/>
            <w:shd w:fill="1B365D"/>
            <w:tcMar>
              <w:top w:w="140" w:type="dxa"/>
              <w:bottom w:w="140" w:type="dxa"/>
              <w:left w:w="150" w:type="dxa"/>
              <w:right w:w="150" w:type="dxa"/>
            </w:tcMar>
          </w:tcPr>
          <w:p>
            <w:pPr>
              <w:jc w:val="left"/>
            </w:pPr>
            <w:r>
              <w:rPr>
                <w:b/>
                <w:color w:val="FFFFFF"/>
              </w:rPr>
              <w:t>Roll Number</w:t>
            </w:r>
          </w:p>
        </w:tc>
        <w:tc>
          <w:tcPr>
            <w:tcW w:type="dxa" w:w="3888"/>
            <w:shd w:fill="1B365D"/>
            <w:tcMar>
              <w:top w:w="140" w:type="dxa"/>
              <w:bottom w:w="140" w:type="dxa"/>
              <w:left w:w="150" w:type="dxa"/>
              <w:right w:w="150" w:type="dxa"/>
            </w:tcMar>
          </w:tcPr>
          <w:p>
            <w:pPr>
              <w:jc w:val="left"/>
            </w:pPr>
            <w:r>
              <w:rPr>
                <w:b/>
                <w:color w:val="FFFFFF"/>
              </w:rPr>
              <w:t>Project Focus / Role</w:t>
            </w:r>
          </w:p>
        </w:tc>
      </w:tr>
      <w:tr>
        <w:tc>
          <w:tcPr>
            <w:tcW w:type="dxa" w:w="3600"/>
            <w:shd w:fill="FFFFFF"/>
            <w:tcMar>
              <w:top w:w="100" w:type="dxa"/>
              <w:bottom w:w="100" w:type="dxa"/>
              <w:left w:w="150" w:type="dxa"/>
              <w:right w:w="150" w:type="dxa"/>
            </w:tcMar>
          </w:tcPr>
          <w:p>
            <w:r>
              <w:rPr>
                <w:b/>
              </w:rPr>
              <w:t>Tahniat Farhan</w:t>
            </w:r>
          </w:p>
        </w:tc>
        <w:tc>
          <w:tcPr>
            <w:tcW w:type="dxa" w:w="2592"/>
            <w:shd w:fill="FFFFFF"/>
            <w:tcMar>
              <w:top w:w="100" w:type="dxa"/>
              <w:bottom w:w="100" w:type="dxa"/>
              <w:left w:w="150" w:type="dxa"/>
              <w:right w:w="150" w:type="dxa"/>
            </w:tcMar>
          </w:tcPr>
          <w:p>
            <w:r>
              <w:t>2025(S)-CYS-15</w:t>
            </w:r>
          </w:p>
        </w:tc>
        <w:tc>
          <w:tcPr>
            <w:tcW w:type="dxa" w:w="3888"/>
            <w:shd w:fill="FFFFFF"/>
            <w:tcMar>
              <w:top w:w="100" w:type="dxa"/>
              <w:bottom w:w="100" w:type="dxa"/>
              <w:left w:w="150" w:type="dxa"/>
              <w:right w:w="150" w:type="dxa"/>
            </w:tcMar>
          </w:tcPr>
          <w:p>
            <w:r>
              <w:t>Threat Profile &amp; Risk Analyst</w:t>
            </w:r>
          </w:p>
        </w:tc>
      </w:tr>
      <w:tr>
        <w:tc>
          <w:tcPr>
            <w:tcW w:type="dxa" w:w="3600"/>
            <w:shd w:fill="F4F6F8"/>
            <w:tcMar>
              <w:top w:w="100" w:type="dxa"/>
              <w:bottom w:w="100" w:type="dxa"/>
              <w:left w:w="150" w:type="dxa"/>
              <w:right w:w="150" w:type="dxa"/>
            </w:tcMar>
          </w:tcPr>
          <w:p>
            <w:r>
              <w:rPr>
                <w:b/>
              </w:rPr>
              <w:t>Aleeha Chishti</w:t>
            </w:r>
          </w:p>
        </w:tc>
        <w:tc>
          <w:tcPr>
            <w:tcW w:type="dxa" w:w="2592"/>
            <w:shd w:fill="F4F6F8"/>
            <w:tcMar>
              <w:top w:w="100" w:type="dxa"/>
              <w:bottom w:w="100" w:type="dxa"/>
              <w:left w:w="150" w:type="dxa"/>
              <w:right w:w="150" w:type="dxa"/>
            </w:tcMar>
          </w:tcPr>
          <w:p>
            <w:r>
              <w:t>2025(S)-CYS-43</w:t>
            </w:r>
          </w:p>
        </w:tc>
        <w:tc>
          <w:tcPr>
            <w:tcW w:type="dxa" w:w="3888"/>
            <w:shd w:fill="F4F6F8"/>
            <w:tcMar>
              <w:top w:w="100" w:type="dxa"/>
              <w:bottom w:w="100" w:type="dxa"/>
              <w:left w:w="150" w:type="dxa"/>
              <w:right w:w="150" w:type="dxa"/>
            </w:tcMar>
          </w:tcPr>
          <w:p>
            <w:r>
              <w:t>Technical Solution Architect</w:t>
            </w:r>
          </w:p>
        </w:tc>
      </w:tr>
      <w:tr>
        <w:tc>
          <w:tcPr>
            <w:tcW w:type="dxa" w:w="3600"/>
            <w:shd w:fill="FFFFFF"/>
            <w:tcMar>
              <w:top w:w="100" w:type="dxa"/>
              <w:bottom w:w="100" w:type="dxa"/>
              <w:left w:w="150" w:type="dxa"/>
              <w:right w:w="150" w:type="dxa"/>
            </w:tcMar>
          </w:tcPr>
          <w:p>
            <w:r>
              <w:rPr>
                <w:b/>
              </w:rPr>
              <w:t>Qamroshay Khan</w:t>
            </w:r>
          </w:p>
        </w:tc>
        <w:tc>
          <w:tcPr>
            <w:tcW w:type="dxa" w:w="2592"/>
            <w:shd w:fill="FFFFFF"/>
            <w:tcMar>
              <w:top w:w="100" w:type="dxa"/>
              <w:bottom w:w="100" w:type="dxa"/>
              <w:left w:w="150" w:type="dxa"/>
              <w:right w:w="150" w:type="dxa"/>
            </w:tcMar>
          </w:tcPr>
          <w:p>
            <w:r>
              <w:t>2025(S)-CYS-46</w:t>
            </w:r>
          </w:p>
        </w:tc>
        <w:tc>
          <w:tcPr>
            <w:tcW w:type="dxa" w:w="3888"/>
            <w:shd w:fill="FFFFFF"/>
            <w:tcMar>
              <w:top w:w="100" w:type="dxa"/>
              <w:bottom w:w="100" w:type="dxa"/>
              <w:left w:w="150" w:type="dxa"/>
              <w:right w:w="150" w:type="dxa"/>
            </w:tcMar>
          </w:tcPr>
          <w:p>
            <w:r>
              <w:t>Systems Deployment &amp; Practice Lead</w:t>
            </w:r>
          </w:p>
        </w:tc>
      </w:tr>
    </w:tbl>
    <w:p>
      <w:pPr>
        <w:spacing w:before="320" w:after="560"/>
      </w:pPr>
      <w:r>
        <w:rPr>
          <w:color w:val="6C757D"/>
          <w:sz w:val="20"/>
        </w:rPr>
        <w:t>Date of Submission: June 3, 2026</w:t>
      </w:r>
    </w:p>
    <w:p>
      <w:pPr>
        <w:keepNext/>
        <w:spacing w:before="480" w:after="120"/>
        <w:pBdr>
          <w:bottom w:val="single" w:sz="12" w:space="4" w:color="1B365D"/>
        </w:pBdr>
      </w:pPr>
      <w:r>
        <w:rPr>
          <w:rFonts w:ascii="Arial" w:hAnsi="Arial"/>
          <w:b/>
          <w:color w:val="1B365D"/>
          <w:sz w:val="36"/>
        </w:rPr>
        <w:t>1. Introduction &amp; The Threat Landscape</w:t>
      </w:r>
    </w:p>
    <w:p>
      <w:pPr>
        <w:keepNext/>
        <w:spacing w:before="240" w:after="120"/>
      </w:pPr>
      <w:r>
        <w:rPr>
          <w:rFonts w:ascii="Arial" w:hAnsi="Arial"/>
          <w:b/>
          <w:color w:val="00838F"/>
          <w:sz w:val="28"/>
        </w:rPr>
        <w:t>1.1 Understanding Metadata: The Digital Envelope</w:t>
      </w:r>
    </w:p>
    <w:p>
      <w:pPr>
        <w:spacing w:after="160" w:line="276" w:lineRule="auto"/>
      </w:pPr>
      <w:r>
        <w:t>In modern computing environments, raw user-generated data is rarely transmitted or archived in absolute isolation. Every digital asset generated by an operating system, hardware sensor, or enterprise productivity suite is intrinsically bundled with metadata—structurally and programmatically defined as "data about data."</w:t>
      </w:r>
    </w:p>
    <w:p>
      <w:pPr>
        <w:spacing w:after="240" w:line="276" w:lineRule="auto"/>
      </w:pPr>
      <w:r>
        <w:t>To utilize a traditional logistics analogy: if the core content of an encryption payload, email body, or document represents the physical letter hidden safely inside a sealed envelope, metadata represents the structural tracking metrics exposed on the exterior wrapper. This includes explicit parameters such as the courier routing nodes, postmark timestamps, sender identities, and physical weight signatures. While end-users focus exclusively on the visible payload (the letter), threat actors, digital forensics units, and corporate data aggregators routinely extract and exploit the exterior parameters (the envelope) to build high-fidelity profiles.</w:t>
      </w:r>
    </w:p>
    <w:p>
      <w:pPr>
        <w:keepNext/>
        <w:spacing w:before="240" w:after="120"/>
      </w:pPr>
      <w:r>
        <w:rPr>
          <w:rFonts w:ascii="Arial" w:hAnsi="Arial"/>
          <w:b/>
          <w:color w:val="00838F"/>
          <w:sz w:val="28"/>
        </w:rPr>
        <w:t>1.2 Vectors of Forensic Information Leakage</w:t>
      </w:r>
    </w:p>
    <w:p>
      <w:pPr>
        <w:spacing w:after="120"/>
      </w:pPr>
      <w:r>
        <w:t>Digital artifacts maintain deeply nested, complex repositories of structural and operational data tags. The three primary vectors driving modern security leakage include:</w:t>
      </w:r>
    </w:p>
    <w:p>
      <w:pPr>
        <w:pStyle w:val="ListBullet"/>
        <w:spacing w:after="80" w:line="276" w:lineRule="auto"/>
      </w:pPr>
      <w:r>
        <w:rPr>
          <w:b/>
        </w:rPr>
        <w:t xml:space="preserve">EXIF (Exchangeable Image File Format): </w:t>
      </w:r>
      <w:r>
        <w:t>Automatically appended by digital camera sensors. A standard uncompressed image captured via consumer mobile devices contains precise GPS coordinates (latitudinal and longitudinal strings structured to single-digit physical margins), camera hardware specifics (e.g., specific mobile chipset or phone model), focal lengths, and millisecond-accurate epoch timestamps.</w:t>
      </w:r>
    </w:p>
    <w:p>
      <w:pPr>
        <w:pStyle w:val="ListBullet"/>
        <w:spacing w:after="80" w:line="276" w:lineRule="auto"/>
      </w:pPr>
      <w:r>
        <w:rPr>
          <w:b/>
        </w:rPr>
        <w:t xml:space="preserve">Document Properties (PDFs): </w:t>
      </w:r>
      <w:r>
        <w:t>Compiled directly during the compilation or rendering phase. These static assets store local system paths, absolute workstation usernames, the specific software compilation tools employed (e.g., specialized PDF distills), and cryptographic software identifiers linked to corporate enterprise licenses.</w:t>
      </w:r>
    </w:p>
    <w:p>
      <w:pPr>
        <w:pStyle w:val="ListBullet"/>
        <w:spacing w:after="80" w:line="276" w:lineRule="auto"/>
      </w:pPr>
      <w:r>
        <w:rPr>
          <w:b/>
        </w:rPr>
        <w:t xml:space="preserve">Word Processing Revision Trees (.docx): </w:t>
      </w:r>
      <w:r>
        <w:t>Office files utilize compressed, structured XML schemas. They harbor rich structural version histories detailing absolute tracking tables, cumulative editing time matrices, historical author profiles, and fragments of deleted text strings or internal developer notes hidden from the final visual layer.</w:t>
      </w:r>
    </w:p>
    <w:p>
      <w:pPr>
        <w:keepNext/>
        <w:spacing w:before="240" w:after="120"/>
      </w:pPr>
      <w:r>
        <w:rPr>
          <w:rFonts w:ascii="Arial" w:hAnsi="Arial"/>
          <w:b/>
          <w:color w:val="00838F"/>
          <w:sz w:val="28"/>
        </w:rPr>
        <w:t>1.3 Case Analysis: Operational Security (OPSEC) Failures</w:t>
      </w:r>
    </w:p>
    <w:p>
      <w:pPr>
        <w:spacing w:after="160"/>
      </w:pPr>
      <w:r>
        <w:t>The systemic failure to mitigate passive metadata leakage has historically led to critical physical and operational security compromises on an international scale.</w:t>
      </w:r>
    </w:p>
    <w:tbl>
      <w:tblPr>
        <w:tblW w:type="auto" w:w="0"/>
        <w:jc w:val="center"/>
        <w:tblLayout w:type="fixed"/>
        <w:tblLook w:firstColumn="1" w:firstRow="1" w:lastColumn="0" w:lastRow="0" w:noHBand="0" w:noVBand="1" w:val="04A0"/>
      </w:tblPr>
      <w:tblGrid>
        <w:gridCol w:w="9029"/>
      </w:tblGrid>
      <w:tr>
        <w:tc>
          <w:tcPr>
            <w:tcW w:type="dxa" w:w="10080"/>
            <w:shd w:fill="F4F6F8"/>
            <w:tcMar>
              <w:top w:w="120" w:type="dxa"/>
              <w:bottom w:w="120" w:type="dxa"/>
              <w:left w:w="180" w:type="dxa"/>
              <w:right w:w="180" w:type="dxa"/>
            </w:tcMar>
            <w:tcBorders>
              <w:left w:val="single" w:sz="24" w:space="0" w:color="00838F"/>
              <w:top w:val="none"/>
              <w:bottom w:val="none"/>
              <w:right w:val="none"/>
            </w:tcBorders>
          </w:tcPr>
          <w:p>
            <w:pPr>
              <w:spacing w:after="80"/>
            </w:pPr>
            <w:r>
              <w:rPr>
                <w:b/>
                <w:color w:val="00838F"/>
                <w:sz w:val="20"/>
              </w:rPr>
              <w:t>CRITICAL OPSEC CASE STUDY: THE MCAFEE LOCATIONAL LEAK (2012)</w:t>
              <w:br/>
            </w:r>
            <w:r>
              <w:rPr>
                <w:color w:val="2F3E46"/>
                <w:sz w:val="20"/>
              </w:rPr>
              <w:t>While actively evading sovereign law enforcement and international intelligence assets in Central America, software pioneer John McAfee's operational security was entirely undone by a single digital file. An accompanying journalist published an exclusive interview photograph online. Because the publishing media entity neglected to execute binary parsing or asset sanitation on the raw payload, the EXIF structural profile remained intact. Hostile actors extracted the embedded geographic strings, mapping his position down to a specific resort in Guatemala. This direct metadata exposure resulted immediately in his locational tracking and subsequent interception by state security teams.</w:t>
            </w:r>
          </w:p>
        </w:tc>
      </w:tr>
    </w:tbl>
    <w:p>
      <w:pPr>
        <w:keepNext/>
        <w:spacing w:before="480" w:after="120"/>
        <w:pBdr>
          <w:bottom w:val="single" w:sz="12" w:space="4" w:color="1B365D"/>
        </w:pBdr>
      </w:pPr>
      <w:r>
        <w:rPr>
          <w:rFonts w:ascii="Arial" w:hAnsi="Arial"/>
          <w:b/>
          <w:color w:val="1B365D"/>
          <w:sz w:val="36"/>
        </w:rPr>
        <w:t>2. Technical Evaluation of MAT2</w:t>
      </w:r>
    </w:p>
    <w:p>
      <w:pPr>
        <w:keepNext/>
        <w:spacing w:before="240" w:after="120"/>
      </w:pPr>
      <w:r>
        <w:rPr>
          <w:rFonts w:ascii="Arial" w:hAnsi="Arial"/>
          <w:b/>
          <w:color w:val="00838F"/>
          <w:sz w:val="28"/>
        </w:rPr>
        <w:t>2.1 Tool Overview</w:t>
      </w:r>
    </w:p>
    <w:p>
      <w:pPr>
        <w:spacing w:after="160"/>
      </w:pPr>
      <w:r>
        <w:t>To decisively neutralize cryptographic tracking matrices and automated forensic acquisition pipelines, security engineers must integrate dedicated data scrubbing toolkits into their defensive pipelines. The premier open-source solution for uniform, secure metadata eradication is MAT2 (Metadata Anonymisation Toolkit v2). Implemented in Python, MAT2 is maintained as a strictly non-commercial, community-audited privacy utility engineered to break down complex file typologies, parse hidden tracking indices, and securely flush vectors without inducing distortion or artifact degradation in the underlying user data layer.</w:t>
      </w:r>
    </w:p>
    <w:p>
      <w:pPr>
        <w:keepNext/>
        <w:spacing w:before="240" w:after="120"/>
      </w:pPr>
      <w:r>
        <w:rPr>
          <w:rFonts w:ascii="Arial" w:hAnsi="Arial"/>
          <w:b/>
          <w:color w:val="00838F"/>
          <w:sz w:val="28"/>
        </w:rPr>
        <w:t>2.2 Mechanism of Action: Destruction vs. Retention</w:t>
      </w:r>
    </w:p>
    <w:p>
      <w:pPr>
        <w:spacing w:after="240"/>
      </w:pPr>
      <w:r>
        <w:t>MAT2 completely avoids standard in-place editing techniques, which frequently fail or leave fragmented tracking blocks behind in corrupted binary headers. Instead, it utilizes a destructive reconstruction methodology: it mounts the targeted binary in memory, extracts only the purified content stream, completely discards the dirty legacy file container, and writes an entirely new, structurally sterile asset wrapper around the clean stream.</w:t>
      </w:r>
    </w:p>
    <w:tbl>
      <w:tblPr>
        <w:tblW w:type="auto" w:w="0"/>
        <w:jc w:val="center"/>
        <w:tblLayout w:type="fixed"/>
        <w:tblLook w:firstColumn="1" w:firstRow="1" w:lastColumn="0" w:lastRow="0" w:noHBand="0" w:noVBand="1" w:val="04A0"/>
      </w:tblPr>
      <w:tblGrid>
        <w:gridCol w:w="4514"/>
        <w:gridCol w:w="4514"/>
      </w:tblGrid>
      <w:tr>
        <w:tc>
          <w:tcPr>
            <w:tcW w:type="dxa" w:w="5040"/>
            <w:shd w:fill="1B365D"/>
            <w:tcMar>
              <w:top w:w="120" w:type="dxa"/>
              <w:bottom w:w="120" w:type="dxa"/>
              <w:left w:w="150" w:type="dxa"/>
              <w:right w:w="150" w:type="dxa"/>
            </w:tcMar>
          </w:tcPr>
          <w:p>
            <w:r>
              <w:rPr>
                <w:b/>
                <w:color w:val="FFFFFF"/>
              </w:rPr>
              <w:t>Targeted Metadata Elements (Destroyed)</w:t>
            </w:r>
          </w:p>
        </w:tc>
        <w:tc>
          <w:tcPr>
            <w:tcW w:type="dxa" w:w="5040"/>
            <w:shd w:fill="1B365D"/>
            <w:tcMar>
              <w:top w:w="120" w:type="dxa"/>
              <w:bottom w:w="120" w:type="dxa"/>
              <w:left w:w="150" w:type="dxa"/>
              <w:right w:w="150" w:type="dxa"/>
            </w:tcMar>
          </w:tcPr>
          <w:p>
            <w:r>
              <w:rPr>
                <w:b/>
                <w:color w:val="FFFFFF"/>
              </w:rPr>
              <w:t>Preserved Functional Layers (Retained)</w:t>
            </w:r>
          </w:p>
        </w:tc>
      </w:tr>
      <w:tr>
        <w:tc>
          <w:tcPr>
            <w:tcW w:type="dxa" w:w="5040"/>
            <w:shd w:fill="FFFFFF"/>
            <w:tcMar>
              <w:top w:w="80" w:type="dxa"/>
              <w:bottom w:w="80" w:type="dxa"/>
              <w:left w:w="150" w:type="dxa"/>
              <w:right w:w="150" w:type="dxa"/>
            </w:tcMar>
          </w:tcPr>
          <w:p>
            <w:r>
              <w:t>• Complete EXIF blocks &amp; hardware configuration tags</w:t>
            </w:r>
          </w:p>
        </w:tc>
        <w:tc>
          <w:tcPr>
            <w:tcW w:type="dxa" w:w="5040"/>
            <w:shd w:fill="FFFFFF"/>
            <w:tcMar>
              <w:top w:w="80" w:type="dxa"/>
              <w:bottom w:w="80" w:type="dxa"/>
              <w:left w:w="150" w:type="dxa"/>
              <w:right w:w="150" w:type="dxa"/>
            </w:tcMar>
          </w:tcPr>
          <w:p>
            <w:r>
              <w:t>• Raw uncompressed image color/pixel arrays</w:t>
            </w:r>
          </w:p>
        </w:tc>
      </w:tr>
      <w:tr>
        <w:tc>
          <w:tcPr>
            <w:tcW w:type="dxa" w:w="5040"/>
            <w:shd w:fill="F4F6F8"/>
            <w:tcMar>
              <w:top w:w="80" w:type="dxa"/>
              <w:bottom w:w="80" w:type="dxa"/>
              <w:left w:w="150" w:type="dxa"/>
              <w:right w:w="150" w:type="dxa"/>
            </w:tcMar>
          </w:tcPr>
          <w:p>
            <w:r>
              <w:t>• Embedded geographic strings (GPS latitude/longitude)</w:t>
            </w:r>
          </w:p>
        </w:tc>
        <w:tc>
          <w:tcPr>
            <w:tcW w:type="dxa" w:w="5040"/>
            <w:shd w:fill="F4F6F8"/>
            <w:tcMar>
              <w:top w:w="80" w:type="dxa"/>
              <w:bottom w:w="80" w:type="dxa"/>
              <w:left w:w="150" w:type="dxa"/>
              <w:right w:w="150" w:type="dxa"/>
            </w:tcMar>
          </w:tcPr>
          <w:p>
            <w:r>
              <w:t>• Primary text layers and structural layouts (PDF)</w:t>
            </w:r>
          </w:p>
        </w:tc>
      </w:tr>
      <w:tr>
        <w:tc>
          <w:tcPr>
            <w:tcW w:type="dxa" w:w="5040"/>
            <w:shd w:fill="FFFFFF"/>
            <w:tcMar>
              <w:top w:w="80" w:type="dxa"/>
              <w:bottom w:w="80" w:type="dxa"/>
              <w:left w:w="150" w:type="dxa"/>
              <w:right w:w="150" w:type="dxa"/>
            </w:tcMar>
          </w:tcPr>
          <w:p>
            <w:r>
              <w:t>• XML version revision tables &amp; authorship histories</w:t>
            </w:r>
          </w:p>
        </w:tc>
        <w:tc>
          <w:tcPr>
            <w:tcW w:type="dxa" w:w="5040"/>
            <w:shd w:fill="FFFFFF"/>
            <w:tcMar>
              <w:top w:w="80" w:type="dxa"/>
              <w:bottom w:w="80" w:type="dxa"/>
              <w:left w:w="150" w:type="dxa"/>
              <w:right w:w="150" w:type="dxa"/>
            </w:tcMar>
          </w:tcPr>
          <w:p>
            <w:r>
              <w:t>• Core binary audio waveforms (MP3/FLAC)</w:t>
            </w:r>
          </w:p>
        </w:tc>
      </w:tr>
      <w:tr>
        <w:tc>
          <w:tcPr>
            <w:tcW w:type="dxa" w:w="5040"/>
            <w:shd w:fill="F4F6F8"/>
            <w:tcMar>
              <w:top w:w="80" w:type="dxa"/>
              <w:bottom w:w="80" w:type="dxa"/>
              <w:left w:w="150" w:type="dxa"/>
              <w:right w:w="150" w:type="dxa"/>
            </w:tcMar>
          </w:tcPr>
          <w:p>
            <w:r>
              <w:t>• Operating system footprints &amp; hidden user accounts</w:t>
            </w:r>
          </w:p>
        </w:tc>
        <w:tc>
          <w:tcPr>
            <w:tcW w:type="dxa" w:w="5040"/>
            <w:shd w:fill="F4F6F8"/>
            <w:tcMar>
              <w:top w:w="80" w:type="dxa"/>
              <w:bottom w:w="80" w:type="dxa"/>
              <w:left w:w="150" w:type="dxa"/>
              <w:right w:w="150" w:type="dxa"/>
            </w:tcMar>
          </w:tcPr>
          <w:p>
            <w:r>
              <w:t>• Static shapes, custom fonts, and functional vectors</w:t>
            </w:r>
          </w:p>
        </w:tc>
      </w:tr>
    </w:tbl>
    <w:p>
      <w:pPr>
        <w:spacing w:before="160"/>
      </w:pPr>
    </w:p>
    <w:p>
      <w:pPr>
        <w:keepNext/>
        <w:spacing w:before="240" w:after="120"/>
      </w:pPr>
      <w:r>
        <w:rPr>
          <w:rFonts w:ascii="Arial" w:hAnsi="Arial"/>
          <w:b/>
          <w:color w:val="00838F"/>
          <w:sz w:val="28"/>
        </w:rPr>
        <w:t>2.3 Supported Architecture and File Typologies</w:t>
      </w:r>
    </w:p>
    <w:p>
      <w:r>
        <w:t>MAT2 utilizes low-level engine abstraction libraries—including GExiv2, Mutagen, and specialized open-source document parsers—to guarantee complete coverage across standard corporate and personal asset extensions:</w:t>
      </w:r>
    </w:p>
    <w:p>
      <w:pPr>
        <w:pStyle w:val="ListBullet"/>
        <w:spacing w:after="80" w:line="276" w:lineRule="auto"/>
      </w:pPr>
      <w:r>
        <w:rPr>
          <w:b/>
        </w:rPr>
        <w:t xml:space="preserve">Raster Graphics: </w:t>
      </w:r>
      <w:r>
        <w:t>.jpeg, .jpg, .png, .tiff, .bmp</w:t>
      </w:r>
    </w:p>
    <w:p>
      <w:pPr>
        <w:pStyle w:val="ListBullet"/>
        <w:spacing w:after="80" w:line="276" w:lineRule="auto"/>
      </w:pPr>
      <w:r>
        <w:rPr>
          <w:b/>
        </w:rPr>
        <w:t xml:space="preserve">Document Structures: </w:t>
      </w:r>
      <w:r>
        <w:t>.pdf, .docx, .xlsx, .pptx, .odt, .ods</w:t>
      </w:r>
    </w:p>
    <w:p>
      <w:pPr>
        <w:pStyle w:val="ListBullet"/>
        <w:spacing w:after="80" w:line="276" w:lineRule="auto"/>
      </w:pPr>
      <w:r>
        <w:rPr>
          <w:b/>
        </w:rPr>
        <w:t xml:space="preserve">Compressed Audio Streams: </w:t>
      </w:r>
      <w:r>
        <w:t>.mp3, .ogg, .flac, .wav, .m4a</w:t>
      </w:r>
    </w:p>
    <w:p>
      <w:pPr>
        <w:keepNext/>
        <w:spacing w:before="240" w:after="120"/>
      </w:pPr>
      <w:r>
        <w:rPr>
          <w:rFonts w:ascii="Arial" w:hAnsi="Arial"/>
          <w:b/>
          <w:color w:val="00838F"/>
          <w:sz w:val="28"/>
        </w:rPr>
        <w:t>2.4 Fallacy of Remediation via Manual Interventions</w:t>
      </w:r>
    </w:p>
    <w:p>
      <w:r>
        <w:t>Non-technical personnel consistently leverage manual, unverified techniques to mask structural parameters. These approaches yield an extremely dangerous false sense of network security:</w:t>
      </w:r>
    </w:p>
    <w:p>
      <w:pPr>
        <w:pStyle w:val="ListBullet"/>
        <w:spacing w:after="80" w:line="276" w:lineRule="auto"/>
      </w:pPr>
      <w:r>
        <w:rPr>
          <w:b/>
        </w:rPr>
        <w:t xml:space="preserve">The Screen-Capture Fallacy: </w:t>
      </w:r>
      <w:r>
        <w:t>Taking a screenshot of an image successfully severs the original EXIF block but immediately stamps the newly created file with the host device's active panel resolution, a fresh absolute timestamp, and localized device rendering profiles.</w:t>
      </w:r>
    </w:p>
    <w:p>
      <w:pPr>
        <w:pStyle w:val="ListBullet"/>
        <w:spacing w:after="80" w:line="276" w:lineRule="auto"/>
      </w:pPr>
      <w:r>
        <w:rPr>
          <w:b/>
        </w:rPr>
        <w:t xml:space="preserve">Surface Label Modification: </w:t>
      </w:r>
      <w:r>
        <w:t>Renaming an asset from 'IMG_4011.jpg' to 'safe_render.jpg' modifies only the outer file table pointer within the local operating system directory. The internal binary blocks hosting the historical data trees remain fully intact.</w:t>
      </w:r>
    </w:p>
    <w:p>
      <w:pPr>
        <w:pStyle w:val="ListBullet"/>
        <w:spacing w:after="80" w:line="276" w:lineRule="auto"/>
      </w:pPr>
      <w:r>
        <w:rPr>
          <w:b/>
        </w:rPr>
        <w:t xml:space="preserve">Standard Processor Saves: </w:t>
      </w:r>
      <w:r>
        <w:t>Utilizing basic 'Save As' prompts inside traditional document processors regularly appends additional tracking logs to the XML tree, recording the file modification timeline rather than wiping historical tracking metrics.</w:t>
      </w:r>
    </w:p>
    <w:p>
      <w:pPr>
        <w:keepNext/>
        <w:spacing w:before="480" w:after="120"/>
        <w:pBdr>
          <w:bottom w:val="single" w:sz="12" w:space="4" w:color="1B365D"/>
        </w:pBdr>
      </w:pPr>
      <w:r>
        <w:rPr>
          <w:rFonts w:ascii="Arial" w:hAnsi="Arial"/>
          <w:b/>
          <w:color w:val="1B365D"/>
          <w:sz w:val="36"/>
        </w:rPr>
        <w:t>3. Operational Implementation &amp; Limitations</w:t>
      </w:r>
    </w:p>
    <w:p>
      <w:pPr>
        <w:keepNext/>
        <w:spacing w:before="240" w:after="120"/>
      </w:pPr>
      <w:r>
        <w:rPr>
          <w:rFonts w:ascii="Arial" w:hAnsi="Arial"/>
          <w:b/>
          <w:color w:val="00838F"/>
          <w:sz w:val="28"/>
        </w:rPr>
        <w:t>3.1 Step-by-Step Functional Walkthrough</w:t>
      </w:r>
    </w:p>
    <w:p>
      <w:r>
        <w:t>The deployment architecture of MAT2 allows for streamlined integration into both basic workstation workflows and highly technical command-line security environments.</w:t>
      </w:r>
    </w:p>
    <w:p>
      <w:pPr>
        <w:keepNext/>
        <w:spacing w:before="240" w:after="120"/>
      </w:pPr>
      <w:r>
        <w:rPr>
          <w:rFonts w:ascii="Arial" w:hAnsi="Arial"/>
          <w:b/>
          <w:i/>
          <w:color w:val="1B365D"/>
          <w:sz w:val="24"/>
        </w:rPr>
        <w:t>Method A: Graphical User Interface (GUI) Execution</w:t>
      </w:r>
    </w:p>
    <w:p>
      <w:r>
        <w:t>For corporate office workflows or non-technical personnel, the mat2-gui interface provides a simplistic abstraction layer. The operator invokes the utility, drags the target asset directly into the processing window, and triggers the scrubbing routine. The system processes the binary array in real-time, leaving the dirty source file completely untouched and exporting a fully sanitized duplicate tagged with a '.cleaned' extension indicator.</w:t>
      </w:r>
    </w:p>
    <w:p>
      <w:pPr>
        <w:keepNext/>
        <w:spacing w:before="240" w:after="120"/>
      </w:pPr>
      <w:r>
        <w:rPr>
          <w:rFonts w:ascii="Arial" w:hAnsi="Arial"/>
          <w:b/>
          <w:i/>
          <w:color w:val="1B365D"/>
          <w:sz w:val="24"/>
        </w:rPr>
        <w:t>Method B: Command Line Interface (CLI) Implementation</w:t>
      </w:r>
    </w:p>
    <w:p>
      <w:r>
        <w:t>For advanced engineering squads, security operation centers (SOCs), or digital forensics automation frameworks, the toolkit is called directly inside the Linux or Unix terminal shell.</w:t>
      </w:r>
    </w:p>
    <w:p>
      <w:pPr>
        <w:spacing w:after="80"/>
      </w:pPr>
      <w:r>
        <w:t>To audit and view a file's active metadata profile without triggering a cleaning routine, pass the --show flag:</w:t>
      </w:r>
    </w:p>
    <w:tbl>
      <w:tblPr>
        <w:tblW w:type="auto" w:w="0"/>
        <w:jc w:val="center"/>
        <w:tblLayout w:type="fixed"/>
        <w:tblLook w:firstColumn="1" w:firstRow="1" w:lastColumn="0" w:lastRow="0" w:noHBand="0" w:noVBand="1" w:val="04A0"/>
      </w:tblPr>
      <w:tblGrid>
        <w:gridCol w:w="9029"/>
      </w:tblGrid>
      <w:tr>
        <w:tc>
          <w:tcPr>
            <w:tcW w:type="dxa" w:w="10080"/>
            <w:shd w:fill="1A1A1A"/>
            <w:tcMar>
              <w:top w:w="100" w:type="dxa"/>
              <w:bottom w:w="100" w:type="dxa"/>
              <w:left w:w="150" w:type="dxa"/>
              <w:right w:w="150" w:type="dxa"/>
            </w:tcMar>
          </w:tcPr>
          <w:p>
            <w:pPr>
              <w:spacing w:before="0" w:after="0"/>
            </w:pPr>
            <w:r>
              <w:rPr>
                <w:rFonts w:ascii="Courier New" w:hAnsi="Courier New"/>
                <w:color w:val="00FF66"/>
                <w:sz w:val="20"/>
              </w:rPr>
              <w:t>$ mat2 --show profile_photo.jpg</w:t>
            </w:r>
          </w:p>
        </w:tc>
      </w:tr>
    </w:tbl>
    <w:p>
      <w:pPr>
        <w:spacing w:after="80"/>
      </w:pPr>
      <w:r>
        <w:t>To instantly execute full metadata destruction and generate a sterilized asset output, target the binary directly:</w:t>
      </w:r>
    </w:p>
    <w:tbl>
      <w:tblPr>
        <w:tblW w:type="auto" w:w="0"/>
        <w:jc w:val="center"/>
        <w:tblLayout w:type="fixed"/>
        <w:tblLook w:firstColumn="1" w:firstRow="1" w:lastColumn="0" w:lastRow="0" w:noHBand="0" w:noVBand="1" w:val="04A0"/>
      </w:tblPr>
      <w:tblGrid>
        <w:gridCol w:w="9029"/>
      </w:tblGrid>
      <w:tr>
        <w:tc>
          <w:tcPr>
            <w:tcW w:type="dxa" w:w="10080"/>
            <w:shd w:fill="1A1A1A"/>
            <w:tcMar>
              <w:top w:w="100" w:type="dxa"/>
              <w:bottom w:w="100" w:type="dxa"/>
              <w:left w:w="150" w:type="dxa"/>
              <w:right w:w="150" w:type="dxa"/>
            </w:tcMar>
          </w:tcPr>
          <w:p>
            <w:pPr>
              <w:spacing w:before="0" w:after="0"/>
            </w:pPr>
            <w:r>
              <w:rPr>
                <w:rFonts w:ascii="Courier New" w:hAnsi="Courier New"/>
                <w:color w:val="00FF66"/>
                <w:sz w:val="20"/>
              </w:rPr>
              <w:t>$ mat2 operational_contract.pdf</w:t>
            </w:r>
          </w:p>
        </w:tc>
      </w:tr>
    </w:tbl>
    <w:p>
      <w:pPr>
        <w:keepNext/>
        <w:spacing w:before="240" w:after="120"/>
      </w:pPr>
      <w:r>
        <w:rPr>
          <w:rFonts w:ascii="Arial" w:hAnsi="Arial"/>
          <w:b/>
          <w:color w:val="00838F"/>
          <w:sz w:val="28"/>
        </w:rPr>
        <w:t>3.2 Verification Engine (Before vs. After Analysis)</w:t>
      </w:r>
    </w:p>
    <w:p>
      <w:pPr>
        <w:spacing w:after="80"/>
      </w:pPr>
      <w:r>
        <w:t>Running an independent forensic inspection tool on an asset before and after the MAT2 pipeline provides deterministic validation of data remediation:</w:t>
      </w:r>
    </w:p>
    <w:tbl>
      <w:tblPr>
        <w:tblW w:type="auto" w:w="0"/>
        <w:jc w:val="center"/>
        <w:tblLayout w:type="fixed"/>
        <w:tblLook w:firstColumn="1" w:firstRow="1" w:lastColumn="0" w:lastRow="0" w:noHBand="0" w:noVBand="1" w:val="04A0"/>
      </w:tblPr>
      <w:tblGrid>
        <w:gridCol w:w="9029"/>
      </w:tblGrid>
      <w:tr>
        <w:tc>
          <w:tcPr>
            <w:tcW w:type="dxa" w:w="10080"/>
            <w:shd w:fill="1A1A1A"/>
            <w:tcMar>
              <w:top w:w="100" w:type="dxa"/>
              <w:bottom w:w="100" w:type="dxa"/>
              <w:left w:w="150" w:type="dxa"/>
              <w:right w:w="150" w:type="dxa"/>
            </w:tcMar>
          </w:tcPr>
          <w:p>
            <w:pPr>
              <w:spacing w:before="0" w:after="0"/>
            </w:pPr>
            <w:r>
              <w:rPr>
                <w:rFonts w:ascii="Courier New" w:hAnsi="Courier New"/>
                <w:color w:val="00FF66"/>
                <w:sz w:val="20"/>
              </w:rPr>
              <w:t>[FORENSIC BINARY ANALYSIS: BEFORE MAT2]</w:t>
              <w:br/>
              <w:t>File Name           : field_incident.jpg</w:t>
              <w:br/>
              <w:t>File Size           : 4.2 MB</w:t>
              <w:br/>
              <w:t>Software            : iOS 19.4</w:t>
              <w:br/>
              <w:t>Modify Date         : 2026:06:03 14:22:05</w:t>
              <w:br/>
              <w:t>GPS Latitude        : 31 deg 32' 59.10" N</w:t>
              <w:br/>
              <w:t>GPS Longitude       : 74 deg 20' 31.44" E</w:t>
              <w:br/>
              <w:t>Camera Model Name   : iPhone 15 Pro</w:t>
              <w:br/>
              <w:br/>
              <w:t>[FORENSIC BINARY ANALYSIS: AFTER MAT2]</w:t>
              <w:br/>
              <w:t>File Name           : field_incident.cleaned.jpg</w:t>
              <w:br/>
              <w:t>File Size           : 3.9 MB</w:t>
              <w:br/>
              <w:t>Software            : [NOT FOUND / STRIPPED]</w:t>
              <w:br/>
              <w:t>Modify Date         : [NOT FOUND / STRIPPED]</w:t>
              <w:br/>
              <w:t>GPS Position        : [NOT FOUND / STRIPPED]</w:t>
              <w:br/>
              <w:t>Camera Model Name   : [NOT FOUND / STRIPPED]</w:t>
            </w:r>
          </w:p>
        </w:tc>
      </w:tr>
    </w:tbl>
    <w:p>
      <w:pPr>
        <w:spacing w:before="120"/>
      </w:pPr>
    </w:p>
    <w:p>
      <w:pPr>
        <w:keepNext/>
        <w:spacing w:before="240" w:after="120"/>
      </w:pPr>
      <w:r>
        <w:rPr>
          <w:rFonts w:ascii="Arial" w:hAnsi="Arial"/>
          <w:b/>
          <w:color w:val="00838F"/>
          <w:sz w:val="28"/>
        </w:rPr>
        <w:t>3.3 Core Technical Limitations</w:t>
      </w:r>
    </w:p>
    <w:p>
      <w:r>
        <w:t>While exceptionally reliable across standard document and graphics scopes, MAT2 contains distinct, hard boundaries that must be considered by cybersecurity practitioners:</w:t>
      </w:r>
    </w:p>
    <w:p>
      <w:pPr>
        <w:pStyle w:val="ListBullet"/>
        <w:spacing w:after="80" w:line="276" w:lineRule="auto"/>
      </w:pPr>
      <w:r>
        <w:rPr>
          <w:b/>
        </w:rPr>
        <w:t xml:space="preserve">Complex Video Container Limits: </w:t>
      </w:r>
      <w:r>
        <w:t>Video layers (.mp4, .mkv, .avi) deploy heavily interleaved, time-synchronized metadata tracks critical for frame indexing. Total extraction of tracking data frequently ruptures codec structures, producing severe playback artifact corruption or total file instability.</w:t>
      </w:r>
    </w:p>
    <w:p>
      <w:pPr>
        <w:pStyle w:val="ListBullet"/>
        <w:spacing w:after="80" w:line="276" w:lineRule="auto"/>
      </w:pPr>
      <w:r>
        <w:rPr>
          <w:b/>
        </w:rPr>
        <w:t xml:space="preserve">DRM Encryption Constraints: </w:t>
      </w:r>
      <w:r>
        <w:t>Digital Rights Management configurations and enterprise access-control layers lock file headers. MAT2 cannot parse or rebuild cryptographically protected assets; attempts to do so will violate the container's integrity signature, locking the asset permanently.</w:t>
      </w:r>
    </w:p>
    <w:p>
      <w:pPr>
        <w:keepNext/>
        <w:spacing w:before="480" w:after="120"/>
        <w:pBdr>
          <w:bottom w:val="single" w:sz="12" w:space="4" w:color="1B365D"/>
        </w:pBdr>
      </w:pPr>
      <w:r>
        <w:rPr>
          <w:rFonts w:ascii="Arial" w:hAnsi="Arial"/>
          <w:b/>
          <w:color w:val="1B365D"/>
          <w:sz w:val="36"/>
        </w:rPr>
        <w:t>4. Conclusion &amp; Operational Best Practices</w:t>
      </w:r>
    </w:p>
    <w:p>
      <w:pPr>
        <w:spacing w:after="160"/>
      </w:pPr>
      <w:r>
        <w:t>Passive metadata leakage remains a massive, highly silent vector of vulnerability within both corporate enterprise frameworks and personal operational security models. As proven by severe historical failures and forensic inspection, relying on raw default software parameters leaves sensitive infrastructure parameters wide open to exploitation by external threat vectors.</w:t>
      </w:r>
    </w:p>
    <w:p>
      <w:pPr>
        <w:spacing w:after="240"/>
      </w:pPr>
      <w:r>
        <w:t>To confidently close this risk posture, the engineering cohort recommends the enforcement of an absolute technical mandate: all public distributions, external client emails, and collaborative cloud uploads must pass through an active, automated sanitation gateway.</w:t>
      </w:r>
    </w:p>
    <w:tbl>
      <w:tblPr>
        <w:tblW w:type="auto" w:w="0"/>
        <w:jc w:val="center"/>
        <w:tblLayout w:type="fixed"/>
        <w:tblLook w:firstColumn="1" w:firstRow="1" w:lastColumn="0" w:lastRow="0" w:noHBand="0" w:noVBand="1" w:val="04A0"/>
      </w:tblPr>
      <w:tblGrid>
        <w:gridCol w:w="9029"/>
      </w:tblGrid>
      <w:tr>
        <w:tc>
          <w:tcPr>
            <w:tcW w:type="dxa" w:w="10080"/>
            <w:shd w:fill="1B365D"/>
            <w:tcMar>
              <w:top w:w="140" w:type="dxa"/>
              <w:bottom w:w="140" w:type="dxa"/>
              <w:left w:w="180" w:type="dxa"/>
              <w:right w:w="180" w:type="dxa"/>
            </w:tcMar>
          </w:tcPr>
          <w:p>
            <w:pPr>
              <w:spacing w:before="0" w:after="0"/>
              <w:jc w:val="center"/>
            </w:pPr>
            <w:r>
              <w:rPr>
                <w:b/>
                <w:color w:val="00838F"/>
                <w:sz w:val="22"/>
              </w:rPr>
              <w:t>CORE SECURITY TAKEAWAY FOR THE OPERATIONAL ENVIRONMENT</w:t>
              <w:br/>
              <w:br/>
            </w:r>
            <w:r>
              <w:rPr>
                <w:i/>
                <w:color w:val="FFFFFF"/>
                <w:sz w:val="22"/>
              </w:rPr>
              <w:t>Technical tools represent only one phase of defensive systems engineering. True risk mitigation requires an absolute cultural adjustment within the workflow: data privacy must cease to be approached as a reactive software application, and must instead be prioritized as a mandatory, proactive operational habit.</w:t>
            </w:r>
          </w:p>
        </w:tc>
      </w:tr>
    </w:tbl>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F3E4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