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2848345"/>
        <w:docPartObj>
          <w:docPartGallery w:val="Cover Pages"/>
          <w:docPartUnique/>
        </w:docPartObj>
      </w:sdtPr>
      <w:sdtEndPr>
        <w:rPr>
          <w:rFonts w:ascii="Times New Roman" w:hAnsi="Times New Roman" w:cs="Times New Roman"/>
          <w:b/>
          <w:bCs/>
          <w:sz w:val="72"/>
        </w:rPr>
      </w:sdtEndPr>
      <w:sdtContent>
        <w:p w14:paraId="52EB5A4B" w14:textId="7DC669FE" w:rsidR="00501712" w:rsidRDefault="00501712"/>
        <w:p w14:paraId="5B6EC205" w14:textId="2C0EAD6A" w:rsidR="00501712" w:rsidRDefault="00501712">
          <w:pPr>
            <w:rPr>
              <w:rFonts w:ascii="Times New Roman" w:hAnsi="Times New Roman" w:cs="Times New Roman"/>
              <w:b/>
              <w:bCs/>
              <w:sz w:val="72"/>
            </w:rPr>
          </w:pPr>
          <w:r>
            <w:rPr>
              <w:noProof/>
            </w:rPr>
            <mc:AlternateContent>
              <mc:Choice Requires="wpg">
                <w:drawing>
                  <wp:anchor distT="0" distB="0" distL="114300" distR="114300" simplePos="0" relativeHeight="251659264" behindDoc="1" locked="0" layoutInCell="1" allowOverlap="1" wp14:anchorId="080EA753" wp14:editId="3535C91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3162809" w14:textId="1ABBC1B4" w:rsidR="00501712" w:rsidRDefault="00501712">
                                  <w:pPr>
                                    <w:rPr>
                                      <w:color w:val="FFFFFF" w:themeColor="background1"/>
                                      <w:sz w:val="72"/>
                                      <w:szCs w:val="72"/>
                                    </w:rPr>
                                  </w:pPr>
                                  <w:r>
                                    <w:rPr>
                                      <w:color w:val="FFFFFF" w:themeColor="background1"/>
                                      <w:sz w:val="72"/>
                                      <w:szCs w:val="72"/>
                                    </w:rPr>
                                    <w:t>[</w:t>
                                  </w: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Drug designing through computational method]</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80EA753"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3162809" w14:textId="1ABBC1B4" w:rsidR="00501712" w:rsidRDefault="00501712">
                            <w:pPr>
                              <w:rPr>
                                <w:color w:val="FFFFFF" w:themeColor="background1"/>
                                <w:sz w:val="72"/>
                                <w:szCs w:val="72"/>
                              </w:rPr>
                            </w:pPr>
                            <w:r>
                              <w:rPr>
                                <w:color w:val="FFFFFF" w:themeColor="background1"/>
                                <w:sz w:val="72"/>
                                <w:szCs w:val="72"/>
                              </w:rPr>
                              <w:t>[</w:t>
                            </w: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Drug designing through computational method]</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B7011BA" wp14:editId="45650A6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0AC287" w14:textId="2D413EBE" w:rsidR="00501712" w:rsidRDefault="00501712">
                                <w:pPr>
                                  <w:pStyle w:val="NoSpacing"/>
                                  <w:rPr>
                                    <w:color w:val="7F7F7F" w:themeColor="text1" w:themeTint="80"/>
                                    <w:sz w:val="18"/>
                                    <w:szCs w:val="18"/>
                                  </w:rPr>
                                </w:pPr>
                                <w:r>
                                  <w:rPr>
                                    <w:caps/>
                                    <w:color w:val="7F7F7F" w:themeColor="text1" w:themeTint="80"/>
                                    <w:sz w:val="18"/>
                                    <w:szCs w:val="18"/>
                                  </w:rPr>
                                  <w:t>submitted to DR. RUBAB ZAHRA NAQVI</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B7011BA"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440AC287" w14:textId="2D413EBE" w:rsidR="00501712" w:rsidRDefault="00501712">
                          <w:pPr>
                            <w:pStyle w:val="NoSpacing"/>
                            <w:rPr>
                              <w:color w:val="7F7F7F" w:themeColor="text1" w:themeTint="80"/>
                              <w:sz w:val="18"/>
                              <w:szCs w:val="18"/>
                            </w:rPr>
                          </w:pPr>
                          <w:r>
                            <w:rPr>
                              <w:caps/>
                              <w:color w:val="7F7F7F" w:themeColor="text1" w:themeTint="80"/>
                              <w:sz w:val="18"/>
                              <w:szCs w:val="18"/>
                            </w:rPr>
                            <w:t>submitted to DR. RUBAB ZAHRA NAQVI</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504BDDD0" wp14:editId="098965B5">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9841508" w14:textId="659CEC6F" w:rsidR="00501712" w:rsidRDefault="00501712">
                                    <w:pPr>
                                      <w:pStyle w:val="NoSpacing"/>
                                      <w:spacing w:before="40" w:after="40"/>
                                      <w:rPr>
                                        <w:caps/>
                                        <w:color w:val="4472C4" w:themeColor="accent1"/>
                                        <w:sz w:val="28"/>
                                        <w:szCs w:val="28"/>
                                      </w:rPr>
                                    </w:pPr>
                                    <w:r>
                                      <w:rPr>
                                        <w:caps/>
                                        <w:color w:val="4472C4" w:themeColor="accent1"/>
                                        <w:sz w:val="28"/>
                                        <w:szCs w:val="28"/>
                                      </w:rPr>
                                      <w:t xml:space="preserve">Tahreem waris </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B27C738" w14:textId="6AF9E8A5" w:rsidR="00501712" w:rsidRDefault="00501712">
                                    <w:pPr>
                                      <w:pStyle w:val="NoSpacing"/>
                                      <w:spacing w:before="40" w:after="40"/>
                                      <w:rPr>
                                        <w:caps/>
                                        <w:color w:val="5B9BD5" w:themeColor="accent5"/>
                                        <w:sz w:val="24"/>
                                        <w:szCs w:val="24"/>
                                      </w:rPr>
                                    </w:pPr>
                                    <w:r>
                                      <w:rPr>
                                        <w:caps/>
                                        <w:color w:val="5B9BD5" w:themeColor="accent5"/>
                                        <w:sz w:val="24"/>
                                        <w:szCs w:val="24"/>
                                      </w:rPr>
                                      <w:t>uaf</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504BDDD0"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9841508" w14:textId="659CEC6F" w:rsidR="00501712" w:rsidRDefault="00501712">
                              <w:pPr>
                                <w:pStyle w:val="NoSpacing"/>
                                <w:spacing w:before="40" w:after="40"/>
                                <w:rPr>
                                  <w:caps/>
                                  <w:color w:val="4472C4" w:themeColor="accent1"/>
                                  <w:sz w:val="28"/>
                                  <w:szCs w:val="28"/>
                                </w:rPr>
                              </w:pPr>
                              <w:r>
                                <w:rPr>
                                  <w:caps/>
                                  <w:color w:val="4472C4" w:themeColor="accent1"/>
                                  <w:sz w:val="28"/>
                                  <w:szCs w:val="28"/>
                                </w:rPr>
                                <w:t xml:space="preserve">Tahreem waris </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B27C738" w14:textId="6AF9E8A5" w:rsidR="00501712" w:rsidRDefault="00501712">
                              <w:pPr>
                                <w:pStyle w:val="NoSpacing"/>
                                <w:spacing w:before="40" w:after="40"/>
                                <w:rPr>
                                  <w:caps/>
                                  <w:color w:val="5B9BD5" w:themeColor="accent5"/>
                                  <w:sz w:val="24"/>
                                  <w:szCs w:val="24"/>
                                </w:rPr>
                              </w:pPr>
                              <w:r>
                                <w:rPr>
                                  <w:caps/>
                                  <w:color w:val="5B9BD5" w:themeColor="accent5"/>
                                  <w:sz w:val="24"/>
                                  <w:szCs w:val="24"/>
                                </w:rPr>
                                <w:t>uaf</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70F8EDE" wp14:editId="2AE8CAB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54A7D8A" w14:textId="2B4ED1FD" w:rsidR="00501712" w:rsidRDefault="00501712">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70F8EDE"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54A7D8A" w14:textId="2B4ED1FD" w:rsidR="00501712" w:rsidRDefault="0050171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Times New Roman" w:hAnsi="Times New Roman" w:cs="Times New Roman"/>
              <w:b/>
              <w:bCs/>
              <w:sz w:val="72"/>
            </w:rPr>
            <w:br w:type="page"/>
          </w:r>
        </w:p>
      </w:sdtContent>
    </w:sdt>
    <w:p w14:paraId="075FCE7E" w14:textId="72FC7DB0" w:rsidR="00AE1FA2" w:rsidRPr="00AE1FA2" w:rsidRDefault="00AE1FA2" w:rsidP="00AE1FA2">
      <w:pPr>
        <w:jc w:val="center"/>
        <w:rPr>
          <w:rFonts w:ascii="Times New Roman" w:hAnsi="Times New Roman" w:cs="Times New Roman"/>
          <w:b/>
          <w:bCs/>
          <w:sz w:val="48"/>
        </w:rPr>
      </w:pPr>
      <w:r w:rsidRPr="00AE1FA2">
        <w:rPr>
          <w:rFonts w:ascii="Times New Roman" w:hAnsi="Times New Roman" w:cs="Times New Roman"/>
          <w:b/>
          <w:bCs/>
          <w:sz w:val="72"/>
        </w:rPr>
        <w:lastRenderedPageBreak/>
        <w:t xml:space="preserve">Network pharmacology </w:t>
      </w:r>
      <w:proofErr w:type="gramStart"/>
      <w:r w:rsidRPr="00AE1FA2">
        <w:rPr>
          <w:rFonts w:ascii="Times New Roman" w:hAnsi="Times New Roman" w:cs="Times New Roman"/>
          <w:b/>
          <w:bCs/>
          <w:sz w:val="72"/>
        </w:rPr>
        <w:t>for  computational</w:t>
      </w:r>
      <w:proofErr w:type="gramEnd"/>
      <w:r w:rsidRPr="00AE1FA2">
        <w:rPr>
          <w:rFonts w:ascii="Times New Roman" w:hAnsi="Times New Roman" w:cs="Times New Roman"/>
          <w:b/>
          <w:bCs/>
          <w:sz w:val="72"/>
        </w:rPr>
        <w:t xml:space="preserve"> Drug designing</w:t>
      </w:r>
      <w:r w:rsidRPr="00AE1FA2">
        <w:rPr>
          <w:rFonts w:ascii="Times New Roman" w:hAnsi="Times New Roman" w:cs="Times New Roman"/>
          <w:b/>
          <w:bCs/>
          <w:sz w:val="48"/>
        </w:rPr>
        <w:t xml:space="preserve"> </w:t>
      </w:r>
    </w:p>
    <w:p w14:paraId="5FE7A64C" w14:textId="77777777" w:rsidR="00AE1FA2" w:rsidRDefault="00AE1FA2" w:rsidP="00AE1FA2">
      <w:pPr>
        <w:jc w:val="center"/>
        <w:rPr>
          <w:b/>
          <w:bCs/>
          <w:sz w:val="48"/>
        </w:rPr>
      </w:pPr>
    </w:p>
    <w:p w14:paraId="6C171878" w14:textId="54E38DB2" w:rsidR="00AE1FA2" w:rsidRPr="00AE1FA2" w:rsidRDefault="00AE1FA2" w:rsidP="00AE1FA2">
      <w:pPr>
        <w:jc w:val="center"/>
        <w:rPr>
          <w:b/>
          <w:bCs/>
          <w:sz w:val="40"/>
        </w:rPr>
      </w:pPr>
      <w:r>
        <w:rPr>
          <w:b/>
          <w:bCs/>
          <w:sz w:val="48"/>
        </w:rPr>
        <w:t>Introduction:</w:t>
      </w:r>
    </w:p>
    <w:p w14:paraId="33060964" w14:textId="608461FD" w:rsidR="00AE1FA2" w:rsidRDefault="00AE1FA2" w:rsidP="00AE1FA2">
      <w:pPr>
        <w:rPr>
          <w:b/>
          <w:bCs/>
          <w:sz w:val="40"/>
        </w:rPr>
      </w:pPr>
      <w:r w:rsidRPr="005046C9">
        <w:rPr>
          <w:b/>
          <w:bCs/>
          <w:sz w:val="36"/>
          <w:szCs w:val="22"/>
        </w:rPr>
        <w:t>Network Pharmacology</w:t>
      </w:r>
      <w:r w:rsidRPr="005046C9">
        <w:rPr>
          <w:sz w:val="36"/>
          <w:szCs w:val="22"/>
        </w:rPr>
        <w:t xml:space="preserve"> is a systems biology approach to drug discovery. Unlike traditional drug design, which assumes </w:t>
      </w:r>
      <w:r w:rsidRPr="005046C9">
        <w:rPr>
          <w:b/>
          <w:bCs/>
          <w:sz w:val="36"/>
          <w:szCs w:val="22"/>
        </w:rPr>
        <w:t>"one drug → one target → one disease,"</w:t>
      </w:r>
      <w:r w:rsidRPr="005046C9">
        <w:rPr>
          <w:sz w:val="36"/>
          <w:szCs w:val="22"/>
        </w:rPr>
        <w:t xml:space="preserve"> network pharmacology assumes that </w:t>
      </w:r>
      <w:r w:rsidRPr="005046C9">
        <w:rPr>
          <w:b/>
          <w:bCs/>
          <w:sz w:val="36"/>
          <w:szCs w:val="22"/>
        </w:rPr>
        <w:t>a drug can interact with multiple targets, and diseases are controlled by complex biological networks rather than a single gene or protein</w:t>
      </w:r>
      <w:r w:rsidRPr="00AE1FA2">
        <w:rPr>
          <w:b/>
          <w:bCs/>
          <w:sz w:val="40"/>
        </w:rPr>
        <w:t>.</w:t>
      </w:r>
    </w:p>
    <w:p w14:paraId="0C8B2BFA" w14:textId="77777777" w:rsidR="00AE1FA2" w:rsidRPr="00AE1FA2" w:rsidRDefault="00AE1FA2" w:rsidP="00C4275A">
      <w:pPr>
        <w:rPr>
          <w:b/>
          <w:bCs/>
          <w:sz w:val="48"/>
        </w:rPr>
      </w:pPr>
      <w:r w:rsidRPr="00AE1FA2">
        <w:rPr>
          <w:b/>
          <w:bCs/>
          <w:sz w:val="48"/>
        </w:rPr>
        <w:t>Principle of Network Pharmacology</w:t>
      </w:r>
    </w:p>
    <w:p w14:paraId="5222BEA8" w14:textId="77777777" w:rsidR="00AE1FA2" w:rsidRPr="005046C9" w:rsidRDefault="00AE1FA2" w:rsidP="00AE1FA2">
      <w:pPr>
        <w:rPr>
          <w:sz w:val="36"/>
        </w:rPr>
      </w:pPr>
      <w:r w:rsidRPr="005046C9">
        <w:rPr>
          <w:sz w:val="36"/>
        </w:rPr>
        <w:t>The main principle is based on the idea that:</w:t>
      </w:r>
    </w:p>
    <w:p w14:paraId="19F90CA6" w14:textId="77777777" w:rsidR="00AE1FA2" w:rsidRPr="005046C9" w:rsidRDefault="00AE1FA2" w:rsidP="00AE1FA2">
      <w:pPr>
        <w:rPr>
          <w:sz w:val="36"/>
        </w:rPr>
      </w:pPr>
      <w:r w:rsidRPr="005046C9">
        <w:rPr>
          <w:b/>
          <w:bCs/>
          <w:sz w:val="36"/>
        </w:rPr>
        <w:t>Biological systems work as interconnected networks, not isolated molecules.</w:t>
      </w:r>
    </w:p>
    <w:p w14:paraId="0266F913" w14:textId="77777777" w:rsidR="00AE1FA2" w:rsidRPr="005046C9" w:rsidRDefault="00AE1FA2" w:rsidP="00AE1FA2">
      <w:pPr>
        <w:rPr>
          <w:sz w:val="36"/>
        </w:rPr>
      </w:pPr>
      <w:r w:rsidRPr="005046C9">
        <w:rPr>
          <w:sz w:val="36"/>
        </w:rPr>
        <w:t>For example,</w:t>
      </w:r>
    </w:p>
    <w:p w14:paraId="436E0D4B" w14:textId="77777777" w:rsidR="00AE1FA2" w:rsidRPr="005046C9" w:rsidRDefault="00AE1FA2" w:rsidP="00AE1FA2">
      <w:pPr>
        <w:numPr>
          <w:ilvl w:val="0"/>
          <w:numId w:val="1"/>
        </w:numPr>
        <w:rPr>
          <w:sz w:val="36"/>
        </w:rPr>
      </w:pPr>
      <w:r w:rsidRPr="005046C9">
        <w:rPr>
          <w:sz w:val="36"/>
        </w:rPr>
        <w:t xml:space="preserve">A disease may involve hundreds of genes. </w:t>
      </w:r>
    </w:p>
    <w:p w14:paraId="7000C359" w14:textId="77777777" w:rsidR="00AE1FA2" w:rsidRPr="005046C9" w:rsidRDefault="00AE1FA2" w:rsidP="00AE1FA2">
      <w:pPr>
        <w:numPr>
          <w:ilvl w:val="0"/>
          <w:numId w:val="1"/>
        </w:numPr>
        <w:rPr>
          <w:sz w:val="36"/>
        </w:rPr>
      </w:pPr>
      <w:r w:rsidRPr="005046C9">
        <w:rPr>
          <w:sz w:val="36"/>
        </w:rPr>
        <w:t xml:space="preserve">A drug may affect dozens of proteins. </w:t>
      </w:r>
    </w:p>
    <w:p w14:paraId="68531AA6" w14:textId="77777777" w:rsidR="00AE1FA2" w:rsidRPr="005046C9" w:rsidRDefault="00AE1FA2" w:rsidP="00AE1FA2">
      <w:pPr>
        <w:numPr>
          <w:ilvl w:val="0"/>
          <w:numId w:val="1"/>
        </w:numPr>
        <w:rPr>
          <w:sz w:val="36"/>
        </w:rPr>
      </w:pPr>
      <w:r w:rsidRPr="005046C9">
        <w:rPr>
          <w:sz w:val="36"/>
        </w:rPr>
        <w:t xml:space="preserve">Those proteins interact with each other in signaling pathways. </w:t>
      </w:r>
    </w:p>
    <w:p w14:paraId="6483DC59" w14:textId="063E544C" w:rsidR="002943AA" w:rsidRPr="005046C9" w:rsidRDefault="00AE1FA2" w:rsidP="002943AA">
      <w:pPr>
        <w:rPr>
          <w:sz w:val="36"/>
        </w:rPr>
      </w:pPr>
      <w:r w:rsidRPr="005046C9">
        <w:rPr>
          <w:sz w:val="36"/>
        </w:rPr>
        <w:lastRenderedPageBreak/>
        <w:t xml:space="preserve">Instead of studying one protein at a time, network pharmacology studies the </w:t>
      </w:r>
      <w:r w:rsidRPr="005046C9">
        <w:rPr>
          <w:b/>
          <w:bCs/>
          <w:sz w:val="36"/>
        </w:rPr>
        <w:t>entire interaction network</w:t>
      </w:r>
      <w:r w:rsidRPr="005046C9">
        <w:rPr>
          <w:sz w:val="36"/>
        </w:rPr>
        <w:t>.</w:t>
      </w:r>
    </w:p>
    <w:p w14:paraId="43DDA54A" w14:textId="291ADA88" w:rsidR="002943AA" w:rsidRPr="005046C9" w:rsidRDefault="002943AA" w:rsidP="00C4275A">
      <w:pPr>
        <w:rPr>
          <w:b/>
          <w:bCs/>
          <w:sz w:val="36"/>
        </w:rPr>
      </w:pPr>
      <w:r w:rsidRPr="005046C9">
        <w:rPr>
          <w:b/>
          <w:bCs/>
          <w:sz w:val="36"/>
        </w:rPr>
        <w:t>Advantages of Network Pharmacology</w:t>
      </w:r>
    </w:p>
    <w:p w14:paraId="23AB29D2" w14:textId="77777777" w:rsidR="002943AA" w:rsidRPr="005046C9" w:rsidRDefault="002943AA" w:rsidP="002943AA">
      <w:pPr>
        <w:numPr>
          <w:ilvl w:val="0"/>
          <w:numId w:val="2"/>
        </w:numPr>
        <w:rPr>
          <w:sz w:val="36"/>
        </w:rPr>
      </w:pPr>
      <w:r w:rsidRPr="005046C9">
        <w:rPr>
          <w:sz w:val="36"/>
        </w:rPr>
        <w:t xml:space="preserve">Studies diseases as biological systems instead of isolated targets. </w:t>
      </w:r>
    </w:p>
    <w:p w14:paraId="78702465" w14:textId="77777777" w:rsidR="002943AA" w:rsidRPr="005046C9" w:rsidRDefault="002943AA" w:rsidP="002943AA">
      <w:pPr>
        <w:numPr>
          <w:ilvl w:val="0"/>
          <w:numId w:val="2"/>
        </w:numPr>
        <w:rPr>
          <w:sz w:val="36"/>
        </w:rPr>
      </w:pPr>
      <w:r w:rsidRPr="005046C9">
        <w:rPr>
          <w:sz w:val="36"/>
        </w:rPr>
        <w:t xml:space="preserve">Identifies multiple therapeutic targets. </w:t>
      </w:r>
    </w:p>
    <w:p w14:paraId="01311EFF" w14:textId="77777777" w:rsidR="002943AA" w:rsidRPr="005046C9" w:rsidRDefault="002943AA" w:rsidP="002943AA">
      <w:pPr>
        <w:numPr>
          <w:ilvl w:val="0"/>
          <w:numId w:val="2"/>
        </w:numPr>
        <w:rPr>
          <w:sz w:val="36"/>
        </w:rPr>
      </w:pPr>
      <w:r w:rsidRPr="005046C9">
        <w:rPr>
          <w:sz w:val="36"/>
        </w:rPr>
        <w:t xml:space="preserve">Supports drug repurposing. </w:t>
      </w:r>
    </w:p>
    <w:p w14:paraId="547ECA1E" w14:textId="77777777" w:rsidR="002943AA" w:rsidRPr="005046C9" w:rsidRDefault="002943AA" w:rsidP="002943AA">
      <w:pPr>
        <w:numPr>
          <w:ilvl w:val="0"/>
          <w:numId w:val="2"/>
        </w:numPr>
        <w:rPr>
          <w:sz w:val="36"/>
        </w:rPr>
      </w:pPr>
      <w:r w:rsidRPr="005046C9">
        <w:rPr>
          <w:sz w:val="36"/>
        </w:rPr>
        <w:t xml:space="preserve">Integrates genomics, proteomics, and metabolomics data. </w:t>
      </w:r>
    </w:p>
    <w:p w14:paraId="1F1CC48E" w14:textId="77777777" w:rsidR="002943AA" w:rsidRPr="005046C9" w:rsidRDefault="002943AA" w:rsidP="002943AA">
      <w:pPr>
        <w:numPr>
          <w:ilvl w:val="0"/>
          <w:numId w:val="2"/>
        </w:numPr>
        <w:rPr>
          <w:sz w:val="36"/>
        </w:rPr>
      </w:pPr>
      <w:r w:rsidRPr="005046C9">
        <w:rPr>
          <w:sz w:val="36"/>
        </w:rPr>
        <w:t xml:space="preserve">Reduces time and cost in early-stage drug discovery. </w:t>
      </w:r>
    </w:p>
    <w:p w14:paraId="2DAD50DB" w14:textId="77777777" w:rsidR="002943AA" w:rsidRPr="005046C9" w:rsidRDefault="002943AA" w:rsidP="002943AA">
      <w:pPr>
        <w:numPr>
          <w:ilvl w:val="0"/>
          <w:numId w:val="2"/>
        </w:numPr>
        <w:rPr>
          <w:sz w:val="36"/>
        </w:rPr>
      </w:pPr>
      <w:r w:rsidRPr="005046C9">
        <w:rPr>
          <w:sz w:val="36"/>
        </w:rPr>
        <w:t xml:space="preserve">Complements molecular docking by prioritizing the most relevant targets. </w:t>
      </w:r>
    </w:p>
    <w:p w14:paraId="36B6220B" w14:textId="77777777" w:rsidR="00C4275A" w:rsidRPr="005046C9" w:rsidRDefault="00C4275A" w:rsidP="00C4275A">
      <w:pPr>
        <w:rPr>
          <w:sz w:val="36"/>
        </w:rPr>
      </w:pPr>
      <w:r w:rsidRPr="005046C9">
        <w:rPr>
          <w:b/>
          <w:bCs/>
          <w:sz w:val="36"/>
        </w:rPr>
        <w:t>Objectives of Network Pharmacology:</w:t>
      </w:r>
    </w:p>
    <w:p w14:paraId="0444D0C6" w14:textId="77777777" w:rsidR="00C4275A" w:rsidRPr="005046C9" w:rsidRDefault="00C4275A" w:rsidP="00C4275A">
      <w:pPr>
        <w:numPr>
          <w:ilvl w:val="0"/>
          <w:numId w:val="3"/>
        </w:numPr>
        <w:rPr>
          <w:sz w:val="36"/>
        </w:rPr>
      </w:pPr>
      <w:r w:rsidRPr="005046C9">
        <w:rPr>
          <w:sz w:val="36"/>
        </w:rPr>
        <w:t xml:space="preserve">Identify disease-related genes and proteins. </w:t>
      </w:r>
    </w:p>
    <w:p w14:paraId="5F09E810" w14:textId="77777777" w:rsidR="00C4275A" w:rsidRPr="005046C9" w:rsidRDefault="00C4275A" w:rsidP="00C4275A">
      <w:pPr>
        <w:numPr>
          <w:ilvl w:val="0"/>
          <w:numId w:val="3"/>
        </w:numPr>
        <w:rPr>
          <w:sz w:val="36"/>
        </w:rPr>
      </w:pPr>
      <w:r w:rsidRPr="005046C9">
        <w:rPr>
          <w:sz w:val="36"/>
        </w:rPr>
        <w:t xml:space="preserve">Predict potential drug targets. </w:t>
      </w:r>
    </w:p>
    <w:p w14:paraId="1A188721" w14:textId="77777777" w:rsidR="00C4275A" w:rsidRPr="005046C9" w:rsidRDefault="00C4275A" w:rsidP="00C4275A">
      <w:pPr>
        <w:numPr>
          <w:ilvl w:val="0"/>
          <w:numId w:val="3"/>
        </w:numPr>
        <w:rPr>
          <w:sz w:val="36"/>
        </w:rPr>
      </w:pPr>
      <w:r w:rsidRPr="005046C9">
        <w:rPr>
          <w:sz w:val="36"/>
        </w:rPr>
        <w:t xml:space="preserve">Construct and analyze biological interaction networks. </w:t>
      </w:r>
    </w:p>
    <w:p w14:paraId="3A04C43F" w14:textId="77777777" w:rsidR="00C4275A" w:rsidRPr="005046C9" w:rsidRDefault="00C4275A" w:rsidP="00C4275A">
      <w:pPr>
        <w:numPr>
          <w:ilvl w:val="0"/>
          <w:numId w:val="3"/>
        </w:numPr>
        <w:rPr>
          <w:sz w:val="36"/>
        </w:rPr>
      </w:pPr>
      <w:r w:rsidRPr="005046C9">
        <w:rPr>
          <w:sz w:val="36"/>
        </w:rPr>
        <w:t xml:space="preserve">Identify hub genes and key signaling pathways. </w:t>
      </w:r>
    </w:p>
    <w:p w14:paraId="63E974C2" w14:textId="77777777" w:rsidR="00C4275A" w:rsidRPr="005046C9" w:rsidRDefault="00C4275A" w:rsidP="00C4275A">
      <w:pPr>
        <w:numPr>
          <w:ilvl w:val="0"/>
          <w:numId w:val="3"/>
        </w:numPr>
        <w:rPr>
          <w:sz w:val="36"/>
        </w:rPr>
      </w:pPr>
      <w:r w:rsidRPr="005046C9">
        <w:rPr>
          <w:sz w:val="36"/>
        </w:rPr>
        <w:t xml:space="preserve">Study protein–protein interactions. </w:t>
      </w:r>
    </w:p>
    <w:p w14:paraId="0E312872" w14:textId="77777777" w:rsidR="00C4275A" w:rsidRPr="005046C9" w:rsidRDefault="00C4275A" w:rsidP="00C4275A">
      <w:pPr>
        <w:numPr>
          <w:ilvl w:val="0"/>
          <w:numId w:val="3"/>
        </w:numPr>
        <w:rPr>
          <w:sz w:val="36"/>
        </w:rPr>
      </w:pPr>
      <w:r w:rsidRPr="005046C9">
        <w:rPr>
          <w:sz w:val="36"/>
        </w:rPr>
        <w:t xml:space="preserve">Predict drug–target interactions. </w:t>
      </w:r>
    </w:p>
    <w:p w14:paraId="0EE95B75" w14:textId="77777777" w:rsidR="00C4275A" w:rsidRPr="005046C9" w:rsidRDefault="00C4275A" w:rsidP="00C4275A">
      <w:pPr>
        <w:numPr>
          <w:ilvl w:val="0"/>
          <w:numId w:val="3"/>
        </w:numPr>
        <w:rPr>
          <w:sz w:val="36"/>
        </w:rPr>
      </w:pPr>
      <w:r w:rsidRPr="005046C9">
        <w:rPr>
          <w:sz w:val="36"/>
        </w:rPr>
        <w:t xml:space="preserve">Support molecular docking and virtual screening. </w:t>
      </w:r>
    </w:p>
    <w:p w14:paraId="29665A44" w14:textId="77777777" w:rsidR="00C4275A" w:rsidRPr="005046C9" w:rsidRDefault="00C4275A" w:rsidP="00C4275A">
      <w:pPr>
        <w:numPr>
          <w:ilvl w:val="0"/>
          <w:numId w:val="3"/>
        </w:numPr>
        <w:rPr>
          <w:sz w:val="36"/>
        </w:rPr>
      </w:pPr>
      <w:r w:rsidRPr="005046C9">
        <w:rPr>
          <w:sz w:val="36"/>
        </w:rPr>
        <w:t xml:space="preserve">Facilitate multi-target drug discovery. </w:t>
      </w:r>
    </w:p>
    <w:p w14:paraId="56A1B679" w14:textId="77777777" w:rsidR="00C4275A" w:rsidRPr="005046C9" w:rsidRDefault="00C4275A" w:rsidP="00C4275A">
      <w:pPr>
        <w:numPr>
          <w:ilvl w:val="0"/>
          <w:numId w:val="3"/>
        </w:numPr>
        <w:rPr>
          <w:sz w:val="36"/>
        </w:rPr>
      </w:pPr>
      <w:r w:rsidRPr="005046C9">
        <w:rPr>
          <w:sz w:val="36"/>
        </w:rPr>
        <w:lastRenderedPageBreak/>
        <w:t xml:space="preserve">Reduce the cost and time of drug development. </w:t>
      </w:r>
    </w:p>
    <w:p w14:paraId="14E21CA5" w14:textId="77777777" w:rsidR="00C4275A" w:rsidRPr="005046C9" w:rsidRDefault="00C4275A" w:rsidP="00C4275A">
      <w:pPr>
        <w:numPr>
          <w:ilvl w:val="0"/>
          <w:numId w:val="3"/>
        </w:numPr>
        <w:rPr>
          <w:sz w:val="36"/>
        </w:rPr>
      </w:pPr>
      <w:r w:rsidRPr="005046C9">
        <w:rPr>
          <w:sz w:val="36"/>
        </w:rPr>
        <w:t xml:space="preserve">Improve understanding of disease mechanisms for better therapeutic design. </w:t>
      </w:r>
    </w:p>
    <w:p w14:paraId="79117CA5" w14:textId="533DCF85" w:rsidR="00AE1FA2" w:rsidRDefault="00D072CD" w:rsidP="00AE1FA2">
      <w:pPr>
        <w:rPr>
          <w:b/>
          <w:bCs/>
          <w:sz w:val="48"/>
        </w:rPr>
      </w:pPr>
      <w:r w:rsidRPr="00D072CD">
        <w:rPr>
          <w:b/>
          <w:bCs/>
          <w:sz w:val="48"/>
        </w:rPr>
        <w:t>Software used</w:t>
      </w:r>
    </w:p>
    <w:p w14:paraId="5EFF9355" w14:textId="77777777" w:rsidR="00B26BC4" w:rsidRPr="005046C9" w:rsidRDefault="00D072CD" w:rsidP="00AE1FA2">
      <w:pPr>
        <w:rPr>
          <w:sz w:val="36"/>
        </w:rPr>
      </w:pPr>
      <w:proofErr w:type="spellStart"/>
      <w:r w:rsidRPr="005046C9">
        <w:rPr>
          <w:sz w:val="36"/>
        </w:rPr>
        <w:t>Cytoscape</w:t>
      </w:r>
      <w:proofErr w:type="spellEnd"/>
    </w:p>
    <w:p w14:paraId="40FD8B1A" w14:textId="1C28A99C" w:rsidR="00D072CD" w:rsidRPr="005046C9" w:rsidRDefault="00D072CD" w:rsidP="00AE1FA2">
      <w:pPr>
        <w:rPr>
          <w:sz w:val="36"/>
        </w:rPr>
      </w:pPr>
      <w:r w:rsidRPr="005046C9">
        <w:rPr>
          <w:sz w:val="36"/>
        </w:rPr>
        <w:t>link</w:t>
      </w:r>
      <w:r w:rsidRPr="005046C9">
        <w:rPr>
          <w:sz w:val="36"/>
        </w:rPr>
        <w:sym w:font="Wingdings" w:char="F0E0"/>
      </w:r>
      <w:hyperlink r:id="rId7" w:history="1">
        <w:r w:rsidRPr="005046C9">
          <w:rPr>
            <w:rStyle w:val="Hyperlink"/>
            <w:sz w:val="36"/>
          </w:rPr>
          <w:t>https://cytoscape.org/download.html</w:t>
        </w:r>
      </w:hyperlink>
    </w:p>
    <w:p w14:paraId="43E8111C" w14:textId="371E515B" w:rsidR="00D072CD" w:rsidRPr="005046C9" w:rsidRDefault="00D072CD" w:rsidP="00AE1FA2">
      <w:pPr>
        <w:rPr>
          <w:sz w:val="36"/>
        </w:rPr>
      </w:pPr>
      <w:r w:rsidRPr="005046C9">
        <w:rPr>
          <w:sz w:val="36"/>
        </w:rPr>
        <w:t>Database: link</w:t>
      </w:r>
      <w:r w:rsidRPr="005046C9">
        <w:rPr>
          <w:sz w:val="36"/>
        </w:rPr>
        <w:sym w:font="Wingdings" w:char="F0E0"/>
      </w:r>
      <w:hyperlink r:id="rId8" w:history="1">
        <w:r w:rsidRPr="005046C9">
          <w:rPr>
            <w:rStyle w:val="Hyperlink"/>
            <w:sz w:val="36"/>
          </w:rPr>
          <w:t>https://www.genecards.org/</w:t>
        </w:r>
      </w:hyperlink>
    </w:p>
    <w:p w14:paraId="1E36174D" w14:textId="77777777" w:rsidR="00B26BC4" w:rsidRPr="005046C9" w:rsidRDefault="00E023EC" w:rsidP="00AE1FA2">
      <w:pPr>
        <w:rPr>
          <w:sz w:val="36"/>
        </w:rPr>
      </w:pPr>
      <w:r w:rsidRPr="005046C9">
        <w:rPr>
          <w:sz w:val="36"/>
        </w:rPr>
        <w:t xml:space="preserve"> PPI FILE analysis Link</w:t>
      </w:r>
      <w:r w:rsidRPr="005046C9">
        <w:rPr>
          <w:sz w:val="36"/>
        </w:rPr>
        <w:sym w:font="Wingdings" w:char="F0E0"/>
      </w:r>
      <w:hyperlink r:id="rId9" w:history="1">
        <w:r w:rsidRPr="005046C9">
          <w:rPr>
            <w:rStyle w:val="Hyperlink"/>
            <w:sz w:val="36"/>
          </w:rPr>
          <w:t>https://string-db.org/cgi/input?sessionId=bXxNqYfcymot&amp;input_page_active_form=multiple_identifiers</w:t>
        </w:r>
      </w:hyperlink>
    </w:p>
    <w:p w14:paraId="70EB2722" w14:textId="3B6A8320" w:rsidR="00D531EB" w:rsidRPr="005046C9" w:rsidRDefault="00D531EB" w:rsidP="00AE1FA2">
      <w:pPr>
        <w:rPr>
          <w:sz w:val="36"/>
        </w:rPr>
      </w:pPr>
      <w:r w:rsidRPr="005046C9">
        <w:rPr>
          <w:sz w:val="36"/>
        </w:rPr>
        <w:t>PPI   network link</w:t>
      </w:r>
      <w:r w:rsidRPr="005046C9">
        <w:rPr>
          <w:sz w:val="36"/>
        </w:rPr>
        <w:sym w:font="Wingdings" w:char="F0E0"/>
      </w:r>
    </w:p>
    <w:p w14:paraId="0659FE66" w14:textId="49509DA1" w:rsidR="00D531EB" w:rsidRPr="005046C9" w:rsidRDefault="00D531EB" w:rsidP="00AE1FA2">
      <w:pPr>
        <w:rPr>
          <w:sz w:val="36"/>
        </w:rPr>
      </w:pPr>
      <w:hyperlink r:id="rId10" w:history="1">
        <w:r w:rsidRPr="005046C9">
          <w:rPr>
            <w:rStyle w:val="Hyperlink"/>
            <w:sz w:val="36"/>
          </w:rPr>
          <w:t>https://string-db.org/cgi/network?taskId=bZnzf7id3bP8&amp;sessionId=bDgnEB7OBnhx</w:t>
        </w:r>
      </w:hyperlink>
    </w:p>
    <w:p w14:paraId="3C0A3992" w14:textId="00BAED81" w:rsidR="00B26BC4" w:rsidRPr="005046C9" w:rsidRDefault="00B26BC4" w:rsidP="00AE1FA2">
      <w:pPr>
        <w:rPr>
          <w:sz w:val="36"/>
        </w:rPr>
      </w:pPr>
      <w:r w:rsidRPr="005046C9">
        <w:rPr>
          <w:sz w:val="36"/>
        </w:rPr>
        <w:t>DAVID link</w:t>
      </w:r>
      <w:r w:rsidRPr="005046C9">
        <w:rPr>
          <w:sz w:val="36"/>
        </w:rPr>
        <w:sym w:font="Wingdings" w:char="F0E0"/>
      </w:r>
      <w:hyperlink r:id="rId11" w:history="1">
        <w:r w:rsidRPr="005046C9">
          <w:rPr>
            <w:rStyle w:val="Hyperlink"/>
            <w:sz w:val="36"/>
          </w:rPr>
          <w:t>https://davidbioinformatics.nih.gov/workspace.html</w:t>
        </w:r>
      </w:hyperlink>
    </w:p>
    <w:p w14:paraId="6ACA7140" w14:textId="1DCA429F" w:rsidR="00091CF7" w:rsidRPr="005046C9" w:rsidRDefault="00091CF7" w:rsidP="00AE1FA2">
      <w:pPr>
        <w:rPr>
          <w:sz w:val="36"/>
        </w:rPr>
      </w:pPr>
      <w:r w:rsidRPr="005046C9">
        <w:rPr>
          <w:sz w:val="36"/>
        </w:rPr>
        <w:t xml:space="preserve">SWISS </w:t>
      </w:r>
      <w:proofErr w:type="spellStart"/>
      <w:r w:rsidRPr="005046C9">
        <w:rPr>
          <w:sz w:val="36"/>
        </w:rPr>
        <w:t>ADME:</w:t>
      </w:r>
      <w:hyperlink r:id="rId12" w:history="1">
        <w:r w:rsidRPr="005046C9">
          <w:rPr>
            <w:rStyle w:val="Hyperlink"/>
            <w:sz w:val="36"/>
          </w:rPr>
          <w:t>https</w:t>
        </w:r>
        <w:proofErr w:type="spellEnd"/>
        <w:r w:rsidRPr="005046C9">
          <w:rPr>
            <w:rStyle w:val="Hyperlink"/>
            <w:sz w:val="36"/>
          </w:rPr>
          <w:t>://www.swissadme.ch/index.php</w:t>
        </w:r>
      </w:hyperlink>
    </w:p>
    <w:p w14:paraId="4A3422E4" w14:textId="3EE1BF28" w:rsidR="004168CD" w:rsidRPr="005046C9" w:rsidRDefault="004168CD" w:rsidP="00AE1FA2">
      <w:pPr>
        <w:rPr>
          <w:sz w:val="36"/>
        </w:rPr>
      </w:pPr>
      <w:r w:rsidRPr="005046C9">
        <w:rPr>
          <w:sz w:val="36"/>
        </w:rPr>
        <w:t xml:space="preserve">Toxicity through </w:t>
      </w:r>
      <w:proofErr w:type="spellStart"/>
      <w:r w:rsidRPr="005046C9">
        <w:rPr>
          <w:sz w:val="36"/>
        </w:rPr>
        <w:t>protox</w:t>
      </w:r>
      <w:proofErr w:type="spellEnd"/>
      <w:r w:rsidRPr="005046C9">
        <w:rPr>
          <w:sz w:val="36"/>
        </w:rPr>
        <w:t xml:space="preserve"> 3.0</w:t>
      </w:r>
      <w:r w:rsidRPr="005046C9">
        <w:rPr>
          <w:sz w:val="36"/>
        </w:rPr>
        <w:sym w:font="Wingdings" w:char="F0E0"/>
      </w:r>
    </w:p>
    <w:p w14:paraId="40603971" w14:textId="71B5C07F" w:rsidR="004168CD" w:rsidRPr="005046C9" w:rsidRDefault="004168CD" w:rsidP="00AE1FA2">
      <w:pPr>
        <w:rPr>
          <w:sz w:val="36"/>
        </w:rPr>
      </w:pPr>
      <w:hyperlink r:id="rId13" w:history="1">
        <w:r w:rsidRPr="005046C9">
          <w:rPr>
            <w:rStyle w:val="Hyperlink"/>
            <w:sz w:val="36"/>
          </w:rPr>
          <w:t>https://tox.charite.de/protox3/index.php?site=compound_input</w:t>
        </w:r>
      </w:hyperlink>
    </w:p>
    <w:p w14:paraId="249E6F70" w14:textId="77777777" w:rsidR="00CE382F" w:rsidRDefault="00CE382F" w:rsidP="00AE1FA2">
      <w:pPr>
        <w:rPr>
          <w:b/>
          <w:sz w:val="36"/>
        </w:rPr>
      </w:pPr>
    </w:p>
    <w:p w14:paraId="7A8A7BF8" w14:textId="7B69CB05" w:rsidR="00E023EC" w:rsidRPr="009B236B" w:rsidRDefault="00E023EC" w:rsidP="00AE1FA2">
      <w:pPr>
        <w:rPr>
          <w:b/>
          <w:sz w:val="36"/>
        </w:rPr>
      </w:pPr>
      <w:r w:rsidRPr="009B236B">
        <w:rPr>
          <w:b/>
          <w:sz w:val="36"/>
        </w:rPr>
        <w:lastRenderedPageBreak/>
        <w:t xml:space="preserve">Project </w:t>
      </w:r>
      <w:r w:rsidR="00983AEF" w:rsidRPr="009B236B">
        <w:rPr>
          <w:b/>
          <w:sz w:val="36"/>
        </w:rPr>
        <w:t>workflow</w:t>
      </w:r>
      <w:r w:rsidRPr="009B236B">
        <w:rPr>
          <w:b/>
          <w:sz w:val="36"/>
        </w:rPr>
        <w:t>:</w:t>
      </w:r>
    </w:p>
    <w:p w14:paraId="315C6030" w14:textId="371F268D" w:rsidR="00E023EC" w:rsidRPr="009B236B" w:rsidRDefault="00E023EC" w:rsidP="00E023EC">
      <w:pPr>
        <w:pStyle w:val="ListParagraph"/>
        <w:numPr>
          <w:ilvl w:val="0"/>
          <w:numId w:val="4"/>
        </w:numPr>
        <w:rPr>
          <w:sz w:val="36"/>
        </w:rPr>
      </w:pPr>
      <w:r w:rsidRPr="009B236B">
        <w:rPr>
          <w:sz w:val="36"/>
        </w:rPr>
        <w:t>Disease gene collection (</w:t>
      </w:r>
      <w:proofErr w:type="spellStart"/>
      <w:r w:rsidRPr="009B236B">
        <w:rPr>
          <w:sz w:val="36"/>
        </w:rPr>
        <w:t>GeneCards</w:t>
      </w:r>
      <w:proofErr w:type="spellEnd"/>
      <w:r w:rsidRPr="009B236B">
        <w:rPr>
          <w:sz w:val="36"/>
        </w:rPr>
        <w:t xml:space="preserve">) </w:t>
      </w:r>
    </w:p>
    <w:p w14:paraId="3FE2D566" w14:textId="173D5593" w:rsidR="00E023EC" w:rsidRPr="009B236B" w:rsidRDefault="00E023EC" w:rsidP="00E023EC">
      <w:pPr>
        <w:pStyle w:val="ListParagraph"/>
        <w:numPr>
          <w:ilvl w:val="0"/>
          <w:numId w:val="4"/>
        </w:numPr>
        <w:rPr>
          <w:sz w:val="36"/>
        </w:rPr>
      </w:pPr>
      <w:r w:rsidRPr="009B236B">
        <w:rPr>
          <w:sz w:val="36"/>
        </w:rPr>
        <w:t xml:space="preserve">Protein-coding gene filtering </w:t>
      </w:r>
    </w:p>
    <w:p w14:paraId="7C217A3A" w14:textId="70B74562" w:rsidR="00E023EC" w:rsidRPr="009B236B" w:rsidRDefault="00E023EC" w:rsidP="00E023EC">
      <w:pPr>
        <w:pStyle w:val="ListParagraph"/>
        <w:numPr>
          <w:ilvl w:val="0"/>
          <w:numId w:val="4"/>
        </w:numPr>
        <w:rPr>
          <w:sz w:val="36"/>
        </w:rPr>
      </w:pPr>
      <w:r w:rsidRPr="009B236B">
        <w:rPr>
          <w:sz w:val="36"/>
        </w:rPr>
        <w:t xml:space="preserve">STRING PPI network </w:t>
      </w:r>
    </w:p>
    <w:p w14:paraId="2B5AEA8C" w14:textId="1D0048B5" w:rsidR="00E023EC" w:rsidRPr="009B236B" w:rsidRDefault="00E023EC" w:rsidP="00E023EC">
      <w:pPr>
        <w:pStyle w:val="ListParagraph"/>
        <w:numPr>
          <w:ilvl w:val="0"/>
          <w:numId w:val="4"/>
        </w:numPr>
        <w:rPr>
          <w:sz w:val="36"/>
        </w:rPr>
      </w:pPr>
      <w:proofErr w:type="spellStart"/>
      <w:r w:rsidRPr="009B236B">
        <w:rPr>
          <w:sz w:val="36"/>
        </w:rPr>
        <w:t>Cytoscape</w:t>
      </w:r>
      <w:proofErr w:type="spellEnd"/>
      <w:r w:rsidRPr="009B236B">
        <w:rPr>
          <w:sz w:val="36"/>
        </w:rPr>
        <w:t xml:space="preserve"> analysis </w:t>
      </w:r>
    </w:p>
    <w:p w14:paraId="2C8454F3" w14:textId="77777777" w:rsidR="00E023EC" w:rsidRPr="009B236B" w:rsidRDefault="00E023EC" w:rsidP="00E023EC">
      <w:pPr>
        <w:pStyle w:val="ListParagraph"/>
        <w:numPr>
          <w:ilvl w:val="0"/>
          <w:numId w:val="4"/>
        </w:numPr>
        <w:rPr>
          <w:sz w:val="36"/>
        </w:rPr>
      </w:pPr>
      <w:r w:rsidRPr="009B236B">
        <w:rPr>
          <w:sz w:val="36"/>
        </w:rPr>
        <w:t>Hub gene identification (MCC)</w:t>
      </w:r>
    </w:p>
    <w:p w14:paraId="0A73D064" w14:textId="6BD38438" w:rsidR="00E023EC" w:rsidRPr="009B236B" w:rsidRDefault="00E023EC" w:rsidP="00E023EC">
      <w:pPr>
        <w:pStyle w:val="ListParagraph"/>
        <w:numPr>
          <w:ilvl w:val="0"/>
          <w:numId w:val="4"/>
        </w:numPr>
        <w:rPr>
          <w:sz w:val="36"/>
        </w:rPr>
      </w:pPr>
      <w:r w:rsidRPr="009B236B">
        <w:rPr>
          <w:sz w:val="36"/>
        </w:rPr>
        <w:t>GO Enrichment Analysis</w:t>
      </w:r>
    </w:p>
    <w:p w14:paraId="180E3158" w14:textId="42DEFDC8" w:rsidR="00E023EC" w:rsidRPr="009B236B" w:rsidRDefault="00E023EC" w:rsidP="00E023EC">
      <w:pPr>
        <w:pStyle w:val="ListParagraph"/>
        <w:numPr>
          <w:ilvl w:val="2"/>
          <w:numId w:val="6"/>
        </w:numPr>
        <w:rPr>
          <w:sz w:val="36"/>
        </w:rPr>
      </w:pPr>
      <w:r w:rsidRPr="009B236B">
        <w:rPr>
          <w:sz w:val="36"/>
        </w:rPr>
        <w:t xml:space="preserve">Biological Process (BP) </w:t>
      </w:r>
    </w:p>
    <w:p w14:paraId="7387CC77" w14:textId="60B20ECB" w:rsidR="00E023EC" w:rsidRPr="009B236B" w:rsidRDefault="00E023EC" w:rsidP="00E023EC">
      <w:pPr>
        <w:pStyle w:val="ListParagraph"/>
        <w:numPr>
          <w:ilvl w:val="2"/>
          <w:numId w:val="6"/>
        </w:numPr>
        <w:rPr>
          <w:sz w:val="36"/>
        </w:rPr>
      </w:pPr>
      <w:r w:rsidRPr="009B236B">
        <w:rPr>
          <w:sz w:val="36"/>
        </w:rPr>
        <w:t xml:space="preserve">Molecular Function (MF) </w:t>
      </w:r>
    </w:p>
    <w:p w14:paraId="5873DEF0" w14:textId="45DC91ED" w:rsidR="00983AEF" w:rsidRPr="009B236B" w:rsidRDefault="00E023EC" w:rsidP="00983AEF">
      <w:pPr>
        <w:pStyle w:val="ListParagraph"/>
        <w:numPr>
          <w:ilvl w:val="2"/>
          <w:numId w:val="6"/>
        </w:numPr>
        <w:rPr>
          <w:sz w:val="36"/>
        </w:rPr>
      </w:pPr>
      <w:r w:rsidRPr="009B236B">
        <w:rPr>
          <w:sz w:val="36"/>
        </w:rPr>
        <w:t>Cellular Component (CC)</w:t>
      </w:r>
    </w:p>
    <w:p w14:paraId="327562CF" w14:textId="2B73322D" w:rsidR="00983AEF" w:rsidRPr="009B236B" w:rsidRDefault="00983AEF" w:rsidP="00983AEF">
      <w:pPr>
        <w:pStyle w:val="ListParagraph"/>
        <w:numPr>
          <w:ilvl w:val="0"/>
          <w:numId w:val="4"/>
        </w:numPr>
        <w:rPr>
          <w:sz w:val="36"/>
        </w:rPr>
      </w:pPr>
      <w:r w:rsidRPr="009B236B">
        <w:rPr>
          <w:sz w:val="36"/>
        </w:rPr>
        <w:t>Kegg pathway analysis</w:t>
      </w:r>
    </w:p>
    <w:p w14:paraId="4E1C1FC5" w14:textId="19128A2B" w:rsidR="00983AEF" w:rsidRPr="009B236B" w:rsidRDefault="00983AEF" w:rsidP="00983AEF">
      <w:pPr>
        <w:pStyle w:val="ListParagraph"/>
        <w:numPr>
          <w:ilvl w:val="0"/>
          <w:numId w:val="4"/>
        </w:numPr>
        <w:rPr>
          <w:sz w:val="36"/>
        </w:rPr>
      </w:pPr>
      <w:r w:rsidRPr="009B236B">
        <w:rPr>
          <w:sz w:val="36"/>
        </w:rPr>
        <w:t xml:space="preserve">Select the target protein </w:t>
      </w:r>
    </w:p>
    <w:p w14:paraId="1F776A4C" w14:textId="2DBF4A85" w:rsidR="00983AEF" w:rsidRPr="009B236B" w:rsidRDefault="00983AEF" w:rsidP="00983AEF">
      <w:pPr>
        <w:pStyle w:val="ListParagraph"/>
        <w:numPr>
          <w:ilvl w:val="0"/>
          <w:numId w:val="4"/>
        </w:numPr>
        <w:rPr>
          <w:sz w:val="36"/>
        </w:rPr>
      </w:pPr>
      <w:r w:rsidRPr="009B236B">
        <w:rPr>
          <w:sz w:val="36"/>
        </w:rPr>
        <w:t xml:space="preserve">Select the ligand </w:t>
      </w:r>
    </w:p>
    <w:p w14:paraId="2E5EF3A1" w14:textId="63A01195" w:rsidR="00983AEF" w:rsidRPr="009B236B" w:rsidRDefault="00983AEF" w:rsidP="00983AEF">
      <w:pPr>
        <w:pStyle w:val="ListParagraph"/>
        <w:numPr>
          <w:ilvl w:val="0"/>
          <w:numId w:val="4"/>
        </w:numPr>
        <w:rPr>
          <w:sz w:val="36"/>
        </w:rPr>
      </w:pPr>
      <w:r w:rsidRPr="009B236B">
        <w:rPr>
          <w:sz w:val="36"/>
        </w:rPr>
        <w:t xml:space="preserve">ADME screening for the ligand </w:t>
      </w:r>
    </w:p>
    <w:p w14:paraId="43D62E48" w14:textId="3FD04E82" w:rsidR="00983AEF" w:rsidRPr="009B236B" w:rsidRDefault="00983AEF" w:rsidP="00983AEF">
      <w:pPr>
        <w:pStyle w:val="ListParagraph"/>
        <w:numPr>
          <w:ilvl w:val="0"/>
          <w:numId w:val="4"/>
        </w:numPr>
        <w:rPr>
          <w:sz w:val="36"/>
        </w:rPr>
      </w:pPr>
      <w:r w:rsidRPr="009B236B">
        <w:rPr>
          <w:sz w:val="36"/>
        </w:rPr>
        <w:t>Molecular docking</w:t>
      </w:r>
    </w:p>
    <w:p w14:paraId="5E023F1C" w14:textId="7B865BE4" w:rsidR="00E023EC" w:rsidRDefault="00983AEF" w:rsidP="00AE1FA2">
      <w:pPr>
        <w:pStyle w:val="ListParagraph"/>
        <w:numPr>
          <w:ilvl w:val="0"/>
          <w:numId w:val="4"/>
        </w:numPr>
        <w:rPr>
          <w:sz w:val="36"/>
        </w:rPr>
      </w:pPr>
      <w:r w:rsidRPr="009B236B">
        <w:rPr>
          <w:sz w:val="36"/>
        </w:rPr>
        <w:t>Interaction analysis</w:t>
      </w:r>
    </w:p>
    <w:p w14:paraId="6A4F7C29" w14:textId="065B2E7A" w:rsidR="004D0945" w:rsidRDefault="004D0945" w:rsidP="004D0945">
      <w:pPr>
        <w:rPr>
          <w:b/>
          <w:bCs/>
          <w:sz w:val="48"/>
        </w:rPr>
      </w:pPr>
      <w:r w:rsidRPr="004D0945">
        <w:rPr>
          <w:b/>
          <w:bCs/>
          <w:sz w:val="48"/>
        </w:rPr>
        <w:t xml:space="preserve">Diseases </w:t>
      </w:r>
      <w:proofErr w:type="gramStart"/>
      <w:r w:rsidRPr="004D0945">
        <w:rPr>
          <w:b/>
          <w:bCs/>
          <w:sz w:val="48"/>
        </w:rPr>
        <w:t>selection :</w:t>
      </w:r>
      <w:proofErr w:type="gramEnd"/>
    </w:p>
    <w:p w14:paraId="39D9560B" w14:textId="77777777" w:rsidR="0083107D" w:rsidRDefault="004D0945" w:rsidP="004D0945">
      <w:pPr>
        <w:rPr>
          <w:sz w:val="36"/>
        </w:rPr>
      </w:pPr>
      <w:r w:rsidRPr="004D0945">
        <w:rPr>
          <w:b/>
          <w:bCs/>
          <w:sz w:val="36"/>
        </w:rPr>
        <w:t>Hepatocellular carcinoma (HCC)</w:t>
      </w:r>
      <w:r w:rsidRPr="004D0945">
        <w:rPr>
          <w:sz w:val="36"/>
        </w:rPr>
        <w:t xml:space="preserve"> is the most common type of primary liver cancer and one of the leading causes of cancer-related deaths worldwide. It is associated with chronic liver diseases and remains a major global health challenge, highlighting the need for effective therapeutic targets and novel treatment strategies</w:t>
      </w:r>
    </w:p>
    <w:p w14:paraId="6DB5CFBF" w14:textId="77777777" w:rsidR="0083107D" w:rsidRDefault="0083107D" w:rsidP="004D0945">
      <w:pPr>
        <w:rPr>
          <w:sz w:val="36"/>
        </w:rPr>
      </w:pPr>
    </w:p>
    <w:p w14:paraId="1F7C1748" w14:textId="7ADA8AF7" w:rsidR="0083107D" w:rsidRPr="0083107D" w:rsidRDefault="0083107D" w:rsidP="004D0945">
      <w:pPr>
        <w:rPr>
          <w:b/>
          <w:bCs/>
          <w:sz w:val="44"/>
        </w:rPr>
      </w:pPr>
      <w:r w:rsidRPr="0083107D">
        <w:rPr>
          <w:b/>
          <w:bCs/>
          <w:sz w:val="44"/>
        </w:rPr>
        <w:lastRenderedPageBreak/>
        <w:t>Protein coding and gene filtering:</w:t>
      </w:r>
    </w:p>
    <w:p w14:paraId="31B41455" w14:textId="61C6B78A" w:rsidR="002016F0" w:rsidRDefault="002016F0" w:rsidP="004D0945">
      <w:pPr>
        <w:rPr>
          <w:sz w:val="36"/>
        </w:rPr>
      </w:pPr>
      <w:r>
        <w:rPr>
          <w:sz w:val="36"/>
        </w:rPr>
        <w:t xml:space="preserve"> To </w:t>
      </w:r>
      <w:r w:rsidRPr="002016F0">
        <w:rPr>
          <w:sz w:val="36"/>
        </w:rPr>
        <w:t xml:space="preserve">improve the reliability of the dataset, only </w:t>
      </w:r>
      <w:r w:rsidRPr="002016F0">
        <w:rPr>
          <w:b/>
          <w:bCs/>
          <w:sz w:val="36"/>
        </w:rPr>
        <w:t>protein-coding genes</w:t>
      </w:r>
      <w:r w:rsidRPr="002016F0">
        <w:rPr>
          <w:sz w:val="36"/>
        </w:rPr>
        <w:t xml:space="preserve"> were retained, while non-protein-coding genes, including long non-coding RNAs (</w:t>
      </w:r>
      <w:proofErr w:type="spellStart"/>
      <w:r w:rsidRPr="002016F0">
        <w:rPr>
          <w:sz w:val="36"/>
        </w:rPr>
        <w:t>lncRNAs</w:t>
      </w:r>
      <w:proofErr w:type="spellEnd"/>
      <w:r w:rsidRPr="002016F0">
        <w:rPr>
          <w:sz w:val="36"/>
        </w:rPr>
        <w:t>), microRNAs (miRNAs), pseudogenes, and other non-coding transcripts, were excluded. The filtered gene list was subsequently used for protein–protein interaction (PPI) network construction, hub gene identification, functional enrichment analysis, and target protein selection for molecular docking studies.</w:t>
      </w:r>
    </w:p>
    <w:p w14:paraId="637B1569" w14:textId="77777777" w:rsidR="002016F0" w:rsidRDefault="002016F0" w:rsidP="002016F0">
      <w:pPr>
        <w:keepNext/>
      </w:pPr>
      <w:r>
        <w:rPr>
          <w:noProof/>
          <w:sz w:val="36"/>
        </w:rPr>
        <w:drawing>
          <wp:inline distT="0" distB="0" distL="0" distR="0" wp14:anchorId="45EA93A1" wp14:editId="5FB2F2D4">
            <wp:extent cx="5943600" cy="2619375"/>
            <wp:effectExtent l="0" t="0" r="0" b="9525"/>
            <wp:docPr id="10011546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4609" name="Picture 1001154609"/>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02ADAB9E" w14:textId="7373930D" w:rsidR="002016F0" w:rsidRDefault="002016F0" w:rsidP="002016F0">
      <w:pPr>
        <w:pStyle w:val="Caption"/>
        <w:rPr>
          <w:sz w:val="36"/>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2016F0">
        <w:t xml:space="preserve">Screenshot of the </w:t>
      </w:r>
      <w:proofErr w:type="spellStart"/>
      <w:r w:rsidRPr="002016F0">
        <w:t>GeneCards</w:t>
      </w:r>
      <w:proofErr w:type="spellEnd"/>
      <w:r w:rsidRPr="002016F0">
        <w:t xml:space="preserve"> database search interface showing results for the query "hepatocellular carcinoma," yielding 15,715 total entries across gene categories including protein-coding genes, RNA genes, pseudogenes, and functional elements. The top-ranked result, </w:t>
      </w:r>
      <w:r w:rsidRPr="002016F0">
        <w:rPr>
          <w:b/>
          <w:bCs/>
        </w:rPr>
        <w:t>HULC (Hepatocellular Carcinoma Up-Regulated Long Non-Coding RNA)</w:t>
      </w:r>
      <w:r w:rsidRPr="002016F0">
        <w:t>, is displayed with a Relevance Score of 530.9 and a Knowledge Score of 58, identifying it as a long non-coding RNA gene strongly associated with hepatocellular carcinoma. This search was used to identify disease-relevant gene/RNA targets associated with hepatocellular carcinoma for further investigation in this study.</w:t>
      </w:r>
    </w:p>
    <w:p w14:paraId="46BC7786" w14:textId="77777777" w:rsidR="002016F0" w:rsidRDefault="002016F0">
      <w:pPr>
        <w:rPr>
          <w:sz w:val="36"/>
        </w:rPr>
      </w:pPr>
      <w:r>
        <w:rPr>
          <w:sz w:val="36"/>
        </w:rPr>
        <w:br w:type="page"/>
      </w:r>
    </w:p>
    <w:p w14:paraId="0FB120E9" w14:textId="4EB0F51D" w:rsidR="0032162F" w:rsidRPr="002016F0" w:rsidRDefault="007607D8" w:rsidP="007607D8">
      <w:pPr>
        <w:rPr>
          <w:sz w:val="36"/>
        </w:rPr>
      </w:pPr>
      <w:r w:rsidRPr="00CE382F">
        <w:rPr>
          <w:b/>
          <w:bCs/>
          <w:sz w:val="52"/>
        </w:rPr>
        <w:lastRenderedPageBreak/>
        <w:t>String PPI network:</w:t>
      </w:r>
      <w:r w:rsidR="0032162F" w:rsidRPr="00CE382F">
        <w:rPr>
          <w:b/>
          <w:bCs/>
          <w:sz w:val="52"/>
        </w:rPr>
        <w:t xml:space="preserve"> </w:t>
      </w:r>
    </w:p>
    <w:p w14:paraId="201C21CA" w14:textId="530901E1" w:rsidR="00CE382F" w:rsidRPr="00CE382F" w:rsidRDefault="0032162F" w:rsidP="007607D8">
      <w:pPr>
        <w:rPr>
          <w:sz w:val="36"/>
        </w:rPr>
      </w:pPr>
      <w:r w:rsidRPr="0032162F">
        <w:rPr>
          <w:sz w:val="36"/>
        </w:rPr>
        <w:t xml:space="preserve">Protein–protein interaction (PPI) analysis was performed using the STRING database (Search Tool for the Retrieval of Interacting Genes/Proteins). The selected genes were uploaded to STRING, and the organism was set to </w:t>
      </w:r>
      <w:r w:rsidRPr="0032162F">
        <w:rPr>
          <w:i/>
          <w:iCs/>
          <w:sz w:val="36"/>
        </w:rPr>
        <w:t>Homo sapiens</w:t>
      </w:r>
      <w:r w:rsidRPr="0032162F">
        <w:rPr>
          <w:sz w:val="36"/>
        </w:rPr>
        <w:t xml:space="preserve"> (taxonomic identifier: 9606). A minimum required interaction score of </w:t>
      </w:r>
      <w:r w:rsidRPr="0032162F">
        <w:rPr>
          <w:b/>
          <w:bCs/>
          <w:sz w:val="36"/>
        </w:rPr>
        <w:t>0.4 (medium confidence)</w:t>
      </w:r>
      <w:r w:rsidRPr="0032162F">
        <w:rPr>
          <w:sz w:val="36"/>
        </w:rPr>
        <w:t xml:space="preserve"> was applied, and disconnected nodes were hidden to improve network clarity. The resulting interaction network was analyzed to identify functional relationships among proteins.</w:t>
      </w:r>
      <w:r w:rsidR="008810B0">
        <w:rPr>
          <w:noProof/>
          <w:sz w:val="36"/>
        </w:rPr>
        <w:drawing>
          <wp:inline distT="0" distB="0" distL="0" distR="0" wp14:anchorId="21DB1618" wp14:editId="792FE019">
            <wp:extent cx="5943600" cy="3311525"/>
            <wp:effectExtent l="0" t="0" r="0" b="3175"/>
            <wp:docPr id="366184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84342" name="Picture 366184342"/>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4B8DA10A" w14:textId="305FD90D" w:rsidR="00CE382F" w:rsidRPr="0032162F" w:rsidRDefault="0032162F" w:rsidP="00CE382F">
      <w:pPr>
        <w:pStyle w:val="Caption"/>
      </w:pPr>
      <w:r>
        <w:t xml:space="preserve">Figure </w:t>
      </w:r>
      <w:r>
        <w:fldChar w:fldCharType="begin"/>
      </w:r>
      <w:r>
        <w:instrText xml:space="preserve"> SEQ Figure \* ARABIC </w:instrText>
      </w:r>
      <w:r>
        <w:fldChar w:fldCharType="separate"/>
      </w:r>
      <w:r w:rsidR="002016F0">
        <w:rPr>
          <w:noProof/>
        </w:rPr>
        <w:t>2</w:t>
      </w:r>
      <w:r>
        <w:fldChar w:fldCharType="end"/>
      </w:r>
      <w:r w:rsidR="00CE382F">
        <w:t xml:space="preserve">   </w:t>
      </w:r>
      <w:r w:rsidR="004D0945" w:rsidRPr="004D0945">
        <w:t xml:space="preserve">Protein–protein interaction (PPI) network of hepatocellular carcinoma (HCC)-associated genes imported from the STRING database into </w:t>
      </w:r>
      <w:proofErr w:type="spellStart"/>
      <w:r w:rsidR="004D0945" w:rsidRPr="004D0945">
        <w:t>Cytoscape</w:t>
      </w:r>
      <w:proofErr w:type="spellEnd"/>
      <w:r w:rsidR="004D0945" w:rsidRPr="004D0945">
        <w:t xml:space="preserve">. The network illustrates the interactions among HCC-related proteins and serves as the basis for topological network analysis. The </w:t>
      </w:r>
      <w:proofErr w:type="spellStart"/>
      <w:r w:rsidR="004D0945" w:rsidRPr="004D0945">
        <w:rPr>
          <w:b/>
          <w:bCs/>
        </w:rPr>
        <w:t>cytoHubba</w:t>
      </w:r>
      <w:proofErr w:type="spellEnd"/>
      <w:r w:rsidR="004D0945" w:rsidRPr="004D0945">
        <w:t xml:space="preserve"> plugin is shown with the </w:t>
      </w:r>
      <w:r w:rsidR="004D0945" w:rsidRPr="004D0945">
        <w:rPr>
          <w:b/>
          <w:bCs/>
        </w:rPr>
        <w:t>Maximal Clique Centrality (MCC)</w:t>
      </w:r>
      <w:r w:rsidR="004D0945" w:rsidRPr="004D0945">
        <w:t xml:space="preserve"> algorithm selected for subsequent identification and ranking of hub genes.</w:t>
      </w:r>
    </w:p>
    <w:p w14:paraId="2046F36B" w14:textId="198BD3D5" w:rsidR="00CE382F" w:rsidRDefault="00CE382F" w:rsidP="00CE382F">
      <w:pPr>
        <w:keepNext/>
      </w:pPr>
      <w:r>
        <w:rPr>
          <w:noProof/>
          <w:sz w:val="36"/>
        </w:rPr>
        <w:lastRenderedPageBreak/>
        <w:drawing>
          <wp:inline distT="0" distB="0" distL="0" distR="0" wp14:anchorId="244A4FD2" wp14:editId="3466374F">
            <wp:extent cx="5943600" cy="3041650"/>
            <wp:effectExtent l="0" t="0" r="0" b="6350"/>
            <wp:docPr id="715036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6060" name="Picture 715036060"/>
                    <pic:cNvPicPr/>
                  </pic:nvPicPr>
                  <pic:blipFill>
                    <a:blip r:embed="rId16">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inline>
        </w:drawing>
      </w:r>
    </w:p>
    <w:p w14:paraId="515EEAF2" w14:textId="3284BEF9" w:rsidR="0032162F" w:rsidRDefault="00CE382F" w:rsidP="00CE382F">
      <w:pPr>
        <w:pStyle w:val="Caption"/>
      </w:pPr>
      <w:r>
        <w:t xml:space="preserve">Figure </w:t>
      </w:r>
      <w:r>
        <w:fldChar w:fldCharType="begin"/>
      </w:r>
      <w:r>
        <w:instrText xml:space="preserve"> SEQ Figure \* ARABIC </w:instrText>
      </w:r>
      <w:r>
        <w:fldChar w:fldCharType="separate"/>
      </w:r>
      <w:r w:rsidR="002016F0">
        <w:rPr>
          <w:noProof/>
        </w:rPr>
        <w:t>3</w:t>
      </w:r>
      <w:r>
        <w:fldChar w:fldCharType="end"/>
      </w:r>
      <w:r>
        <w:t xml:space="preserve">  </w:t>
      </w:r>
      <w:r w:rsidRPr="00CE382F">
        <w:t xml:space="preserve">Screenshot of </w:t>
      </w:r>
      <w:proofErr w:type="spellStart"/>
      <w:r w:rsidRPr="00CE382F">
        <w:t>cytoHubba</w:t>
      </w:r>
      <w:proofErr w:type="spellEnd"/>
      <w:r w:rsidRPr="00CE382F">
        <w:t xml:space="preserve"> analysis in </w:t>
      </w:r>
      <w:proofErr w:type="spellStart"/>
      <w:r w:rsidRPr="00CE382F">
        <w:t>Cytoscape</w:t>
      </w:r>
      <w:proofErr w:type="spellEnd"/>
      <w:r w:rsidRPr="00CE382F">
        <w:t xml:space="preserve"> showing the identification of the top 10 hub genes from the STRING-derived PPI network using the Maximal Clique Centrality (MCC) algorithm. The ranked hub genes were selected for subsequent pathway analysis and molecular docking studies.</w:t>
      </w:r>
    </w:p>
    <w:p w14:paraId="0FC5C468" w14:textId="77777777" w:rsidR="00CE382F" w:rsidRPr="00CE382F" w:rsidRDefault="00CE382F" w:rsidP="00CE382F"/>
    <w:tbl>
      <w:tblPr>
        <w:tblStyle w:val="GridTable1Light"/>
        <w:tblW w:w="0" w:type="auto"/>
        <w:tblLook w:val="04A0" w:firstRow="1" w:lastRow="0" w:firstColumn="1" w:lastColumn="0" w:noHBand="0" w:noVBand="1"/>
      </w:tblPr>
      <w:tblGrid>
        <w:gridCol w:w="9350"/>
      </w:tblGrid>
      <w:tr w:rsidR="00CE382F" w14:paraId="68F9E7B1" w14:textId="77777777" w:rsidTr="00CE3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507"/>
              <w:gridCol w:w="6805"/>
            </w:tblGrid>
            <w:tr w:rsidR="00CE382F" w:rsidRPr="00CE382F" w14:paraId="532CA296" w14:textId="77777777" w:rsidTr="0008097A">
              <w:trPr>
                <w:tblHeader/>
                <w:tblCellSpacing w:w="15" w:type="dxa"/>
              </w:trPr>
              <w:tc>
                <w:tcPr>
                  <w:tcW w:w="0" w:type="auto"/>
                  <w:vAlign w:val="center"/>
                  <w:hideMark/>
                </w:tcPr>
                <w:p w14:paraId="446D4F93" w14:textId="77777777" w:rsidR="00CE382F" w:rsidRPr="00CE382F" w:rsidRDefault="00CE382F" w:rsidP="0008097A">
                  <w:pPr>
                    <w:rPr>
                      <w:b/>
                      <w:bCs/>
                      <w:sz w:val="36"/>
                    </w:rPr>
                  </w:pPr>
                  <w:r w:rsidRPr="00CE382F">
                    <w:rPr>
                      <w:b/>
                      <w:bCs/>
                      <w:sz w:val="36"/>
                    </w:rPr>
                    <w:t>Rank</w:t>
                  </w:r>
                </w:p>
              </w:tc>
              <w:tc>
                <w:tcPr>
                  <w:tcW w:w="0" w:type="auto"/>
                  <w:vAlign w:val="center"/>
                  <w:hideMark/>
                </w:tcPr>
                <w:p w14:paraId="30929A63" w14:textId="77777777" w:rsidR="00CE382F" w:rsidRPr="00CE382F" w:rsidRDefault="00CE382F" w:rsidP="0008097A">
                  <w:pPr>
                    <w:rPr>
                      <w:b/>
                      <w:bCs/>
                      <w:sz w:val="36"/>
                    </w:rPr>
                  </w:pPr>
                  <w:r w:rsidRPr="00CE382F">
                    <w:rPr>
                      <w:b/>
                      <w:bCs/>
                      <w:sz w:val="36"/>
                    </w:rPr>
                    <w:t>Hub Gene</w:t>
                  </w:r>
                </w:p>
              </w:tc>
              <w:tc>
                <w:tcPr>
                  <w:tcW w:w="0" w:type="auto"/>
                  <w:vAlign w:val="center"/>
                  <w:hideMark/>
                </w:tcPr>
                <w:p w14:paraId="03399598" w14:textId="77777777" w:rsidR="00CE382F" w:rsidRPr="00CE382F" w:rsidRDefault="00CE382F" w:rsidP="0008097A">
                  <w:pPr>
                    <w:rPr>
                      <w:b/>
                      <w:bCs/>
                      <w:sz w:val="36"/>
                    </w:rPr>
                  </w:pPr>
                  <w:r w:rsidRPr="00CE382F">
                    <w:rPr>
                      <w:b/>
                      <w:bCs/>
                      <w:sz w:val="36"/>
                    </w:rPr>
                    <w:t>Importance in HCC</w:t>
                  </w:r>
                </w:p>
              </w:tc>
            </w:tr>
            <w:tr w:rsidR="00CE382F" w:rsidRPr="00CE382F" w14:paraId="19E26B67" w14:textId="77777777" w:rsidTr="0008097A">
              <w:trPr>
                <w:tblCellSpacing w:w="15" w:type="dxa"/>
              </w:trPr>
              <w:tc>
                <w:tcPr>
                  <w:tcW w:w="0" w:type="auto"/>
                  <w:vAlign w:val="center"/>
                  <w:hideMark/>
                </w:tcPr>
                <w:p w14:paraId="72664170" w14:textId="77777777" w:rsidR="00CE382F" w:rsidRPr="00CE382F" w:rsidRDefault="00CE382F" w:rsidP="0008097A">
                  <w:pPr>
                    <w:rPr>
                      <w:sz w:val="36"/>
                    </w:rPr>
                  </w:pPr>
                  <w:r w:rsidRPr="00CE382F">
                    <w:rPr>
                      <w:sz w:val="36"/>
                    </w:rPr>
                    <w:t>1</w:t>
                  </w:r>
                </w:p>
              </w:tc>
              <w:tc>
                <w:tcPr>
                  <w:tcW w:w="0" w:type="auto"/>
                  <w:vAlign w:val="center"/>
                  <w:hideMark/>
                </w:tcPr>
                <w:p w14:paraId="57E95A93" w14:textId="77777777" w:rsidR="00CE382F" w:rsidRPr="00CE382F" w:rsidRDefault="00CE382F" w:rsidP="0008097A">
                  <w:pPr>
                    <w:rPr>
                      <w:sz w:val="36"/>
                    </w:rPr>
                  </w:pPr>
                  <w:r w:rsidRPr="00CE382F">
                    <w:rPr>
                      <w:b/>
                      <w:bCs/>
                      <w:sz w:val="36"/>
                    </w:rPr>
                    <w:t>TP53</w:t>
                  </w:r>
                </w:p>
              </w:tc>
              <w:tc>
                <w:tcPr>
                  <w:tcW w:w="0" w:type="auto"/>
                  <w:vAlign w:val="center"/>
                  <w:hideMark/>
                </w:tcPr>
                <w:p w14:paraId="2E44A108" w14:textId="77777777" w:rsidR="00CE382F" w:rsidRPr="00CE382F" w:rsidRDefault="00CE382F" w:rsidP="0008097A">
                  <w:pPr>
                    <w:rPr>
                      <w:sz w:val="36"/>
                    </w:rPr>
                  </w:pPr>
                  <w:r w:rsidRPr="00CE382F">
                    <w:rPr>
                      <w:sz w:val="36"/>
                    </w:rPr>
                    <w:t>Tumor suppressor, most frequently mutated in HCC</w:t>
                  </w:r>
                </w:p>
              </w:tc>
            </w:tr>
            <w:tr w:rsidR="00CE382F" w:rsidRPr="00CE382F" w14:paraId="6A9DE443" w14:textId="77777777" w:rsidTr="0008097A">
              <w:trPr>
                <w:tblCellSpacing w:w="15" w:type="dxa"/>
              </w:trPr>
              <w:tc>
                <w:tcPr>
                  <w:tcW w:w="0" w:type="auto"/>
                  <w:vAlign w:val="center"/>
                  <w:hideMark/>
                </w:tcPr>
                <w:p w14:paraId="1E3F0A70" w14:textId="77777777" w:rsidR="00CE382F" w:rsidRPr="00CE382F" w:rsidRDefault="00CE382F" w:rsidP="0008097A">
                  <w:pPr>
                    <w:rPr>
                      <w:sz w:val="36"/>
                    </w:rPr>
                  </w:pPr>
                  <w:r w:rsidRPr="00CE382F">
                    <w:rPr>
                      <w:sz w:val="36"/>
                    </w:rPr>
                    <w:t>2</w:t>
                  </w:r>
                </w:p>
              </w:tc>
              <w:tc>
                <w:tcPr>
                  <w:tcW w:w="0" w:type="auto"/>
                  <w:vAlign w:val="center"/>
                  <w:hideMark/>
                </w:tcPr>
                <w:p w14:paraId="7380311E" w14:textId="77777777" w:rsidR="00CE382F" w:rsidRPr="00CE382F" w:rsidRDefault="00CE382F" w:rsidP="0008097A">
                  <w:pPr>
                    <w:rPr>
                      <w:sz w:val="36"/>
                    </w:rPr>
                  </w:pPr>
                  <w:r w:rsidRPr="00CE382F">
                    <w:rPr>
                      <w:b/>
                      <w:bCs/>
                      <w:sz w:val="36"/>
                    </w:rPr>
                    <w:t>PTEN</w:t>
                  </w:r>
                </w:p>
              </w:tc>
              <w:tc>
                <w:tcPr>
                  <w:tcW w:w="0" w:type="auto"/>
                  <w:vAlign w:val="center"/>
                  <w:hideMark/>
                </w:tcPr>
                <w:p w14:paraId="17E94237" w14:textId="77777777" w:rsidR="00CE382F" w:rsidRPr="00CE382F" w:rsidRDefault="00CE382F" w:rsidP="0008097A">
                  <w:pPr>
                    <w:rPr>
                      <w:sz w:val="36"/>
                    </w:rPr>
                  </w:pPr>
                  <w:r w:rsidRPr="00CE382F">
                    <w:rPr>
                      <w:sz w:val="36"/>
                    </w:rPr>
                    <w:t>Tumor suppressor regulating the PI3K/AKT pathway</w:t>
                  </w:r>
                </w:p>
              </w:tc>
            </w:tr>
            <w:tr w:rsidR="00CE382F" w:rsidRPr="00CE382F" w14:paraId="59CCD8CB" w14:textId="77777777" w:rsidTr="0008097A">
              <w:trPr>
                <w:tblCellSpacing w:w="15" w:type="dxa"/>
              </w:trPr>
              <w:tc>
                <w:tcPr>
                  <w:tcW w:w="0" w:type="auto"/>
                  <w:vAlign w:val="center"/>
                  <w:hideMark/>
                </w:tcPr>
                <w:p w14:paraId="464AC597" w14:textId="77777777" w:rsidR="00CE382F" w:rsidRPr="00CE382F" w:rsidRDefault="00CE382F" w:rsidP="0008097A">
                  <w:pPr>
                    <w:rPr>
                      <w:sz w:val="36"/>
                    </w:rPr>
                  </w:pPr>
                  <w:r w:rsidRPr="00CE382F">
                    <w:rPr>
                      <w:sz w:val="36"/>
                    </w:rPr>
                    <w:t>3</w:t>
                  </w:r>
                </w:p>
              </w:tc>
              <w:tc>
                <w:tcPr>
                  <w:tcW w:w="0" w:type="auto"/>
                  <w:vAlign w:val="center"/>
                  <w:hideMark/>
                </w:tcPr>
                <w:p w14:paraId="3D8B173C" w14:textId="77777777" w:rsidR="00CE382F" w:rsidRPr="00CE382F" w:rsidRDefault="00CE382F" w:rsidP="0008097A">
                  <w:pPr>
                    <w:rPr>
                      <w:sz w:val="36"/>
                    </w:rPr>
                  </w:pPr>
                  <w:r w:rsidRPr="00CE382F">
                    <w:rPr>
                      <w:b/>
                      <w:bCs/>
                      <w:sz w:val="36"/>
                    </w:rPr>
                    <w:t>KRAS</w:t>
                  </w:r>
                </w:p>
              </w:tc>
              <w:tc>
                <w:tcPr>
                  <w:tcW w:w="0" w:type="auto"/>
                  <w:vAlign w:val="center"/>
                  <w:hideMark/>
                </w:tcPr>
                <w:p w14:paraId="1C07296C" w14:textId="77777777" w:rsidR="00CE382F" w:rsidRPr="00CE382F" w:rsidRDefault="00CE382F" w:rsidP="0008097A">
                  <w:pPr>
                    <w:rPr>
                      <w:sz w:val="36"/>
                    </w:rPr>
                  </w:pPr>
                  <w:r w:rsidRPr="00CE382F">
                    <w:rPr>
                      <w:sz w:val="36"/>
                    </w:rPr>
                    <w:t>Oncogene involved in cell proliferation</w:t>
                  </w:r>
                </w:p>
              </w:tc>
            </w:tr>
            <w:tr w:rsidR="00CE382F" w:rsidRPr="00CE382F" w14:paraId="1DDD646B" w14:textId="77777777" w:rsidTr="0008097A">
              <w:trPr>
                <w:tblCellSpacing w:w="15" w:type="dxa"/>
              </w:trPr>
              <w:tc>
                <w:tcPr>
                  <w:tcW w:w="0" w:type="auto"/>
                  <w:vAlign w:val="center"/>
                  <w:hideMark/>
                </w:tcPr>
                <w:p w14:paraId="22A5C54E" w14:textId="77777777" w:rsidR="00CE382F" w:rsidRPr="00CE382F" w:rsidRDefault="00CE382F" w:rsidP="0008097A">
                  <w:pPr>
                    <w:rPr>
                      <w:sz w:val="36"/>
                    </w:rPr>
                  </w:pPr>
                  <w:r w:rsidRPr="00CE382F">
                    <w:rPr>
                      <w:sz w:val="36"/>
                    </w:rPr>
                    <w:t>4</w:t>
                  </w:r>
                </w:p>
              </w:tc>
              <w:tc>
                <w:tcPr>
                  <w:tcW w:w="0" w:type="auto"/>
                  <w:vAlign w:val="center"/>
                  <w:hideMark/>
                </w:tcPr>
                <w:p w14:paraId="4C8F07D8" w14:textId="77777777" w:rsidR="00CE382F" w:rsidRPr="00CE382F" w:rsidRDefault="00CE382F" w:rsidP="0008097A">
                  <w:pPr>
                    <w:rPr>
                      <w:sz w:val="36"/>
                    </w:rPr>
                  </w:pPr>
                  <w:r w:rsidRPr="00CE382F">
                    <w:rPr>
                      <w:b/>
                      <w:bCs/>
                      <w:sz w:val="36"/>
                    </w:rPr>
                    <w:t>PIK3CA</w:t>
                  </w:r>
                </w:p>
              </w:tc>
              <w:tc>
                <w:tcPr>
                  <w:tcW w:w="0" w:type="auto"/>
                  <w:vAlign w:val="center"/>
                  <w:hideMark/>
                </w:tcPr>
                <w:p w14:paraId="262CC063" w14:textId="77777777" w:rsidR="00CE382F" w:rsidRPr="00CE382F" w:rsidRDefault="00CE382F" w:rsidP="0008097A">
                  <w:pPr>
                    <w:rPr>
                      <w:sz w:val="36"/>
                    </w:rPr>
                  </w:pPr>
                  <w:r w:rsidRPr="00CE382F">
                    <w:rPr>
                      <w:sz w:val="36"/>
                    </w:rPr>
                    <w:t>Activates the PI3K/AKT signaling pathway</w:t>
                  </w:r>
                </w:p>
              </w:tc>
            </w:tr>
            <w:tr w:rsidR="00CE382F" w:rsidRPr="00CE382F" w14:paraId="5B5897CA" w14:textId="77777777" w:rsidTr="0008097A">
              <w:trPr>
                <w:tblCellSpacing w:w="15" w:type="dxa"/>
              </w:trPr>
              <w:tc>
                <w:tcPr>
                  <w:tcW w:w="0" w:type="auto"/>
                  <w:vAlign w:val="center"/>
                  <w:hideMark/>
                </w:tcPr>
                <w:p w14:paraId="5162172A" w14:textId="77777777" w:rsidR="00CE382F" w:rsidRPr="00CE382F" w:rsidRDefault="00CE382F" w:rsidP="0008097A">
                  <w:pPr>
                    <w:rPr>
                      <w:sz w:val="36"/>
                    </w:rPr>
                  </w:pPr>
                  <w:r w:rsidRPr="00CE382F">
                    <w:rPr>
                      <w:sz w:val="36"/>
                    </w:rPr>
                    <w:t>5</w:t>
                  </w:r>
                </w:p>
              </w:tc>
              <w:tc>
                <w:tcPr>
                  <w:tcW w:w="0" w:type="auto"/>
                  <w:vAlign w:val="center"/>
                  <w:hideMark/>
                </w:tcPr>
                <w:p w14:paraId="3B1F8C3C" w14:textId="77777777" w:rsidR="00CE382F" w:rsidRPr="00CE382F" w:rsidRDefault="00CE382F" w:rsidP="0008097A">
                  <w:pPr>
                    <w:rPr>
                      <w:sz w:val="36"/>
                    </w:rPr>
                  </w:pPr>
                  <w:r w:rsidRPr="00CE382F">
                    <w:rPr>
                      <w:b/>
                      <w:bCs/>
                      <w:sz w:val="36"/>
                    </w:rPr>
                    <w:t>CDKN2A</w:t>
                  </w:r>
                </w:p>
              </w:tc>
              <w:tc>
                <w:tcPr>
                  <w:tcW w:w="0" w:type="auto"/>
                  <w:vAlign w:val="center"/>
                  <w:hideMark/>
                </w:tcPr>
                <w:p w14:paraId="4453BBCE" w14:textId="77777777" w:rsidR="00CE382F" w:rsidRPr="00CE382F" w:rsidRDefault="00CE382F" w:rsidP="0008097A">
                  <w:pPr>
                    <w:rPr>
                      <w:sz w:val="36"/>
                    </w:rPr>
                  </w:pPr>
                  <w:r w:rsidRPr="00CE382F">
                    <w:rPr>
                      <w:sz w:val="36"/>
                    </w:rPr>
                    <w:t>Cell cycle regulator</w:t>
                  </w:r>
                </w:p>
              </w:tc>
            </w:tr>
            <w:tr w:rsidR="00CE382F" w:rsidRPr="00CE382F" w14:paraId="661C5394" w14:textId="77777777" w:rsidTr="0008097A">
              <w:trPr>
                <w:tblCellSpacing w:w="15" w:type="dxa"/>
              </w:trPr>
              <w:tc>
                <w:tcPr>
                  <w:tcW w:w="0" w:type="auto"/>
                  <w:vAlign w:val="center"/>
                  <w:hideMark/>
                </w:tcPr>
                <w:p w14:paraId="70C404EF" w14:textId="77777777" w:rsidR="00CE382F" w:rsidRPr="00CE382F" w:rsidRDefault="00CE382F" w:rsidP="0008097A">
                  <w:pPr>
                    <w:rPr>
                      <w:sz w:val="36"/>
                    </w:rPr>
                  </w:pPr>
                  <w:r w:rsidRPr="00CE382F">
                    <w:rPr>
                      <w:sz w:val="36"/>
                    </w:rPr>
                    <w:lastRenderedPageBreak/>
                    <w:t>6</w:t>
                  </w:r>
                </w:p>
              </w:tc>
              <w:tc>
                <w:tcPr>
                  <w:tcW w:w="0" w:type="auto"/>
                  <w:vAlign w:val="center"/>
                  <w:hideMark/>
                </w:tcPr>
                <w:p w14:paraId="2AFE3BE3" w14:textId="77777777" w:rsidR="00CE382F" w:rsidRPr="00CE382F" w:rsidRDefault="00CE382F" w:rsidP="0008097A">
                  <w:pPr>
                    <w:rPr>
                      <w:sz w:val="36"/>
                    </w:rPr>
                  </w:pPr>
                  <w:r w:rsidRPr="00CE382F">
                    <w:rPr>
                      <w:b/>
                      <w:bCs/>
                      <w:sz w:val="36"/>
                    </w:rPr>
                    <w:t>CTNNB1</w:t>
                  </w:r>
                </w:p>
              </w:tc>
              <w:tc>
                <w:tcPr>
                  <w:tcW w:w="0" w:type="auto"/>
                  <w:vAlign w:val="center"/>
                  <w:hideMark/>
                </w:tcPr>
                <w:p w14:paraId="764C3F11" w14:textId="77777777" w:rsidR="00CE382F" w:rsidRPr="00CE382F" w:rsidRDefault="00CE382F" w:rsidP="0008097A">
                  <w:pPr>
                    <w:rPr>
                      <w:sz w:val="36"/>
                    </w:rPr>
                  </w:pPr>
                  <w:proofErr w:type="spellStart"/>
                  <w:r w:rsidRPr="00CE382F">
                    <w:rPr>
                      <w:sz w:val="36"/>
                    </w:rPr>
                    <w:t>Wnt</w:t>
                  </w:r>
                  <w:proofErr w:type="spellEnd"/>
                  <w:r w:rsidRPr="00CE382F">
                    <w:rPr>
                      <w:sz w:val="36"/>
                    </w:rPr>
                    <w:t>/β-catenin signaling, commonly mutated in HCC</w:t>
                  </w:r>
                </w:p>
              </w:tc>
            </w:tr>
            <w:tr w:rsidR="00CE382F" w:rsidRPr="00CE382F" w14:paraId="07E325FF" w14:textId="77777777" w:rsidTr="0008097A">
              <w:trPr>
                <w:tblCellSpacing w:w="15" w:type="dxa"/>
              </w:trPr>
              <w:tc>
                <w:tcPr>
                  <w:tcW w:w="0" w:type="auto"/>
                  <w:vAlign w:val="center"/>
                  <w:hideMark/>
                </w:tcPr>
                <w:p w14:paraId="67BF3DE3" w14:textId="77777777" w:rsidR="00CE382F" w:rsidRPr="00CE382F" w:rsidRDefault="00CE382F" w:rsidP="0008097A">
                  <w:pPr>
                    <w:rPr>
                      <w:sz w:val="36"/>
                    </w:rPr>
                  </w:pPr>
                  <w:r w:rsidRPr="00CE382F">
                    <w:rPr>
                      <w:sz w:val="36"/>
                    </w:rPr>
                    <w:t>7</w:t>
                  </w:r>
                </w:p>
              </w:tc>
              <w:tc>
                <w:tcPr>
                  <w:tcW w:w="0" w:type="auto"/>
                  <w:vAlign w:val="center"/>
                  <w:hideMark/>
                </w:tcPr>
                <w:p w14:paraId="2EB62799" w14:textId="77777777" w:rsidR="00CE382F" w:rsidRPr="00CE382F" w:rsidRDefault="00CE382F" w:rsidP="0008097A">
                  <w:pPr>
                    <w:rPr>
                      <w:sz w:val="36"/>
                    </w:rPr>
                  </w:pPr>
                  <w:r w:rsidRPr="00CE382F">
                    <w:rPr>
                      <w:b/>
                      <w:bCs/>
                      <w:sz w:val="36"/>
                    </w:rPr>
                    <w:t>MYC</w:t>
                  </w:r>
                </w:p>
              </w:tc>
              <w:tc>
                <w:tcPr>
                  <w:tcW w:w="0" w:type="auto"/>
                  <w:vAlign w:val="center"/>
                  <w:hideMark/>
                </w:tcPr>
                <w:p w14:paraId="1D19F545" w14:textId="77777777" w:rsidR="00CE382F" w:rsidRPr="00CE382F" w:rsidRDefault="00CE382F" w:rsidP="0008097A">
                  <w:pPr>
                    <w:rPr>
                      <w:sz w:val="36"/>
                    </w:rPr>
                  </w:pPr>
                  <w:r w:rsidRPr="00CE382F">
                    <w:rPr>
                      <w:sz w:val="36"/>
                    </w:rPr>
                    <w:t>Major oncogene promoting tumor growth</w:t>
                  </w:r>
                </w:p>
              </w:tc>
            </w:tr>
            <w:tr w:rsidR="00CE382F" w:rsidRPr="00CE382F" w14:paraId="4CFEA16F" w14:textId="77777777" w:rsidTr="0008097A">
              <w:trPr>
                <w:tblCellSpacing w:w="15" w:type="dxa"/>
              </w:trPr>
              <w:tc>
                <w:tcPr>
                  <w:tcW w:w="0" w:type="auto"/>
                  <w:vAlign w:val="center"/>
                  <w:hideMark/>
                </w:tcPr>
                <w:p w14:paraId="30355784" w14:textId="77777777" w:rsidR="00CE382F" w:rsidRPr="00CE382F" w:rsidRDefault="00CE382F" w:rsidP="0008097A">
                  <w:pPr>
                    <w:rPr>
                      <w:sz w:val="36"/>
                    </w:rPr>
                  </w:pPr>
                  <w:r w:rsidRPr="00CE382F">
                    <w:rPr>
                      <w:sz w:val="36"/>
                    </w:rPr>
                    <w:t>8</w:t>
                  </w:r>
                </w:p>
              </w:tc>
              <w:tc>
                <w:tcPr>
                  <w:tcW w:w="0" w:type="auto"/>
                  <w:vAlign w:val="center"/>
                  <w:hideMark/>
                </w:tcPr>
                <w:p w14:paraId="096B3F6B" w14:textId="77777777" w:rsidR="00CE382F" w:rsidRPr="00CE382F" w:rsidRDefault="00CE382F" w:rsidP="0008097A">
                  <w:pPr>
                    <w:rPr>
                      <w:sz w:val="36"/>
                    </w:rPr>
                  </w:pPr>
                  <w:r w:rsidRPr="00CE382F">
                    <w:rPr>
                      <w:b/>
                      <w:bCs/>
                      <w:sz w:val="36"/>
                    </w:rPr>
                    <w:t>HRAS</w:t>
                  </w:r>
                </w:p>
              </w:tc>
              <w:tc>
                <w:tcPr>
                  <w:tcW w:w="0" w:type="auto"/>
                  <w:vAlign w:val="center"/>
                  <w:hideMark/>
                </w:tcPr>
                <w:p w14:paraId="726CA4E4" w14:textId="77777777" w:rsidR="00CE382F" w:rsidRPr="00CE382F" w:rsidRDefault="00CE382F" w:rsidP="0008097A">
                  <w:pPr>
                    <w:rPr>
                      <w:sz w:val="36"/>
                    </w:rPr>
                  </w:pPr>
                  <w:r w:rsidRPr="00CE382F">
                    <w:rPr>
                      <w:sz w:val="36"/>
                    </w:rPr>
                    <w:t>Ras family oncogene</w:t>
                  </w:r>
                </w:p>
              </w:tc>
            </w:tr>
            <w:tr w:rsidR="00CE382F" w:rsidRPr="00CE382F" w14:paraId="65FE2D79" w14:textId="77777777" w:rsidTr="0008097A">
              <w:trPr>
                <w:tblCellSpacing w:w="15" w:type="dxa"/>
              </w:trPr>
              <w:tc>
                <w:tcPr>
                  <w:tcW w:w="0" w:type="auto"/>
                  <w:vAlign w:val="center"/>
                  <w:hideMark/>
                </w:tcPr>
                <w:p w14:paraId="5F83FAA9" w14:textId="77777777" w:rsidR="00CE382F" w:rsidRPr="00CE382F" w:rsidRDefault="00CE382F" w:rsidP="0008097A">
                  <w:pPr>
                    <w:rPr>
                      <w:sz w:val="36"/>
                    </w:rPr>
                  </w:pPr>
                  <w:r w:rsidRPr="00CE382F">
                    <w:rPr>
                      <w:sz w:val="36"/>
                    </w:rPr>
                    <w:t>9</w:t>
                  </w:r>
                </w:p>
              </w:tc>
              <w:tc>
                <w:tcPr>
                  <w:tcW w:w="0" w:type="auto"/>
                  <w:vAlign w:val="center"/>
                  <w:hideMark/>
                </w:tcPr>
                <w:p w14:paraId="65340F57" w14:textId="77777777" w:rsidR="00CE382F" w:rsidRPr="00CE382F" w:rsidRDefault="00CE382F" w:rsidP="0008097A">
                  <w:pPr>
                    <w:rPr>
                      <w:sz w:val="36"/>
                    </w:rPr>
                  </w:pPr>
                  <w:r w:rsidRPr="00CE382F">
                    <w:rPr>
                      <w:b/>
                      <w:bCs/>
                      <w:sz w:val="36"/>
                    </w:rPr>
                    <w:t>ATM</w:t>
                  </w:r>
                </w:p>
              </w:tc>
              <w:tc>
                <w:tcPr>
                  <w:tcW w:w="0" w:type="auto"/>
                  <w:vAlign w:val="center"/>
                  <w:hideMark/>
                </w:tcPr>
                <w:p w14:paraId="193D76AB" w14:textId="77777777" w:rsidR="00CE382F" w:rsidRPr="00CE382F" w:rsidRDefault="00CE382F" w:rsidP="0008097A">
                  <w:pPr>
                    <w:rPr>
                      <w:sz w:val="36"/>
                    </w:rPr>
                  </w:pPr>
                  <w:r w:rsidRPr="00CE382F">
                    <w:rPr>
                      <w:sz w:val="36"/>
                    </w:rPr>
                    <w:t>DNA damage response protein</w:t>
                  </w:r>
                </w:p>
              </w:tc>
            </w:tr>
            <w:tr w:rsidR="00CE382F" w:rsidRPr="00CE382F" w14:paraId="15E11651" w14:textId="77777777" w:rsidTr="0008097A">
              <w:trPr>
                <w:tblCellSpacing w:w="15" w:type="dxa"/>
              </w:trPr>
              <w:tc>
                <w:tcPr>
                  <w:tcW w:w="0" w:type="auto"/>
                  <w:vAlign w:val="center"/>
                  <w:hideMark/>
                </w:tcPr>
                <w:p w14:paraId="6323735D" w14:textId="77777777" w:rsidR="00CE382F" w:rsidRPr="00CE382F" w:rsidRDefault="00CE382F" w:rsidP="0008097A">
                  <w:pPr>
                    <w:rPr>
                      <w:sz w:val="36"/>
                    </w:rPr>
                  </w:pPr>
                  <w:r w:rsidRPr="00CE382F">
                    <w:rPr>
                      <w:sz w:val="36"/>
                    </w:rPr>
                    <w:t>10</w:t>
                  </w:r>
                </w:p>
              </w:tc>
              <w:tc>
                <w:tcPr>
                  <w:tcW w:w="0" w:type="auto"/>
                  <w:vAlign w:val="center"/>
                  <w:hideMark/>
                </w:tcPr>
                <w:p w14:paraId="620DB304" w14:textId="77777777" w:rsidR="00CE382F" w:rsidRPr="00CE382F" w:rsidRDefault="00CE382F" w:rsidP="0008097A">
                  <w:pPr>
                    <w:rPr>
                      <w:sz w:val="36"/>
                    </w:rPr>
                  </w:pPr>
                  <w:r w:rsidRPr="00CE382F">
                    <w:rPr>
                      <w:b/>
                      <w:bCs/>
                      <w:sz w:val="36"/>
                    </w:rPr>
                    <w:t>NRAS</w:t>
                  </w:r>
                </w:p>
              </w:tc>
              <w:tc>
                <w:tcPr>
                  <w:tcW w:w="0" w:type="auto"/>
                  <w:vAlign w:val="center"/>
                  <w:hideMark/>
                </w:tcPr>
                <w:p w14:paraId="42998070" w14:textId="77777777" w:rsidR="00CE382F" w:rsidRPr="00CE382F" w:rsidRDefault="00CE382F" w:rsidP="0008097A">
                  <w:pPr>
                    <w:rPr>
                      <w:sz w:val="36"/>
                    </w:rPr>
                  </w:pPr>
                  <w:r w:rsidRPr="00CE382F">
                    <w:rPr>
                      <w:sz w:val="36"/>
                    </w:rPr>
                    <w:t>Ras family oncogene</w:t>
                  </w:r>
                </w:p>
              </w:tc>
            </w:tr>
          </w:tbl>
          <w:p w14:paraId="7721DBCB" w14:textId="77777777" w:rsidR="00CE382F" w:rsidRDefault="00CE382F"/>
        </w:tc>
      </w:tr>
    </w:tbl>
    <w:p w14:paraId="67EABCEB" w14:textId="77777777" w:rsidR="004D0945" w:rsidRDefault="004D0945" w:rsidP="004D0945">
      <w:pPr>
        <w:rPr>
          <w:sz w:val="36"/>
        </w:rPr>
      </w:pPr>
    </w:p>
    <w:p w14:paraId="66D0711E" w14:textId="2BE0D734" w:rsidR="004D0945" w:rsidRDefault="004D0945" w:rsidP="004D0945">
      <w:pPr>
        <w:rPr>
          <w:b/>
          <w:bCs/>
          <w:sz w:val="48"/>
        </w:rPr>
      </w:pPr>
      <w:r w:rsidRPr="004D0945">
        <w:rPr>
          <w:b/>
          <w:bCs/>
          <w:sz w:val="48"/>
        </w:rPr>
        <w:t>GO Enrichment Analysi</w:t>
      </w:r>
      <w:r>
        <w:rPr>
          <w:b/>
          <w:bCs/>
          <w:sz w:val="48"/>
        </w:rPr>
        <w:t>s:</w:t>
      </w:r>
    </w:p>
    <w:p w14:paraId="5A58DC3B" w14:textId="00CFFCF5" w:rsidR="004D0945" w:rsidRDefault="004D0945" w:rsidP="004D0945">
      <w:pPr>
        <w:rPr>
          <w:sz w:val="36"/>
        </w:rPr>
      </w:pPr>
      <w:r w:rsidRPr="004D0945">
        <w:rPr>
          <w:sz w:val="36"/>
        </w:rPr>
        <w:t>Genes rarely function independently; instead, they participate in common biological pathways and cellular processes. After identifying disease-associated or differentially expressed genes, it is essential to determine the biological functions these genes collectively perform</w:t>
      </w:r>
    </w:p>
    <w:p w14:paraId="5EDA3888" w14:textId="77777777" w:rsidR="004D0945" w:rsidRPr="004D0945" w:rsidRDefault="004D0945" w:rsidP="004D0945">
      <w:pPr>
        <w:rPr>
          <w:b/>
          <w:bCs/>
          <w:sz w:val="48"/>
          <w:szCs w:val="36"/>
        </w:rPr>
      </w:pPr>
      <w:r w:rsidRPr="004D0945">
        <w:rPr>
          <w:b/>
          <w:bCs/>
          <w:sz w:val="48"/>
          <w:szCs w:val="36"/>
        </w:rPr>
        <w:t>Functional Annotation Chart</w:t>
      </w:r>
    </w:p>
    <w:p w14:paraId="74B7927E" w14:textId="77777777" w:rsidR="004D0945" w:rsidRPr="004D0945" w:rsidRDefault="004D0945" w:rsidP="004D0945">
      <w:pPr>
        <w:rPr>
          <w:sz w:val="36"/>
        </w:rPr>
      </w:pPr>
      <w:r w:rsidRPr="004D0945">
        <w:rPr>
          <w:sz w:val="36"/>
        </w:rPr>
        <w:t xml:space="preserve">The </w:t>
      </w:r>
      <w:r w:rsidRPr="004D0945">
        <w:rPr>
          <w:b/>
          <w:bCs/>
          <w:sz w:val="36"/>
        </w:rPr>
        <w:t>Functional Annotation Chart</w:t>
      </w:r>
      <w:r w:rsidRPr="004D0945">
        <w:rPr>
          <w:sz w:val="36"/>
        </w:rPr>
        <w:t xml:space="preserve"> presents the enrichment results as a table, where each row corresponds to one significantly enriched annotation term (GO, KEGG, </w:t>
      </w:r>
      <w:proofErr w:type="spellStart"/>
      <w:r w:rsidRPr="004D0945">
        <w:rPr>
          <w:sz w:val="36"/>
        </w:rPr>
        <w:t>InterPro</w:t>
      </w:r>
      <w:proofErr w:type="spellEnd"/>
      <w:r w:rsidRPr="004D0945">
        <w:rPr>
          <w:sz w:val="36"/>
        </w:rPr>
        <w:t>, UniProt keywords, etc.). For GO enrichment analysis, the chart is divided into:</w:t>
      </w:r>
    </w:p>
    <w:p w14:paraId="417BEADA" w14:textId="77777777" w:rsidR="004D0945" w:rsidRPr="004D0945" w:rsidRDefault="004D0945" w:rsidP="004D0945">
      <w:pPr>
        <w:numPr>
          <w:ilvl w:val="0"/>
          <w:numId w:val="18"/>
        </w:numPr>
        <w:rPr>
          <w:sz w:val="36"/>
        </w:rPr>
      </w:pPr>
      <w:r w:rsidRPr="004D0945">
        <w:rPr>
          <w:b/>
          <w:bCs/>
          <w:sz w:val="36"/>
        </w:rPr>
        <w:t>GOTERM_BP_DIRECT</w:t>
      </w:r>
      <w:r w:rsidRPr="004D0945">
        <w:rPr>
          <w:sz w:val="36"/>
        </w:rPr>
        <w:t xml:space="preserve"> (Biological Process) </w:t>
      </w:r>
    </w:p>
    <w:p w14:paraId="49ED896F" w14:textId="77777777" w:rsidR="004D0945" w:rsidRPr="004D0945" w:rsidRDefault="004D0945" w:rsidP="004D0945">
      <w:pPr>
        <w:numPr>
          <w:ilvl w:val="0"/>
          <w:numId w:val="18"/>
        </w:numPr>
        <w:rPr>
          <w:sz w:val="36"/>
        </w:rPr>
      </w:pPr>
      <w:r w:rsidRPr="004D0945">
        <w:rPr>
          <w:b/>
          <w:bCs/>
          <w:sz w:val="36"/>
        </w:rPr>
        <w:lastRenderedPageBreak/>
        <w:t>GOTERM_CC_DIRECT</w:t>
      </w:r>
      <w:r w:rsidRPr="004D0945">
        <w:rPr>
          <w:sz w:val="36"/>
        </w:rPr>
        <w:t xml:space="preserve"> (Cellular Component) </w:t>
      </w:r>
    </w:p>
    <w:p w14:paraId="73897470" w14:textId="5ECAABBE" w:rsidR="004D0945" w:rsidRPr="004D0945" w:rsidRDefault="004D0945" w:rsidP="004D0945">
      <w:pPr>
        <w:numPr>
          <w:ilvl w:val="0"/>
          <w:numId w:val="18"/>
        </w:numPr>
        <w:rPr>
          <w:sz w:val="36"/>
        </w:rPr>
      </w:pPr>
      <w:r w:rsidRPr="004D0945">
        <w:rPr>
          <w:b/>
          <w:bCs/>
          <w:sz w:val="36"/>
        </w:rPr>
        <w:t>GOTERM_MF_DIRECT</w:t>
      </w:r>
      <w:r w:rsidRPr="004D0945">
        <w:rPr>
          <w:sz w:val="36"/>
        </w:rPr>
        <w:t xml:space="preserve"> (Molecular Function) </w:t>
      </w:r>
    </w:p>
    <w:p w14:paraId="553A46AB" w14:textId="37B5E4AA" w:rsidR="00163A68" w:rsidRDefault="00163A68" w:rsidP="00163A68">
      <w:pPr>
        <w:keepNext/>
      </w:pPr>
      <w:r>
        <w:rPr>
          <w:noProof/>
          <w:sz w:val="36"/>
        </w:rPr>
        <w:drawing>
          <wp:inline distT="0" distB="0" distL="0" distR="0" wp14:anchorId="1A8C5045" wp14:editId="5A93E229">
            <wp:extent cx="5943600" cy="2619375"/>
            <wp:effectExtent l="0" t="0" r="0" b="9525"/>
            <wp:docPr id="1293033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33914" name="Picture 12930339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6E982618" w14:textId="6E245ED5" w:rsidR="00CE382F" w:rsidRDefault="00163A68" w:rsidP="00163A68">
      <w:pPr>
        <w:pStyle w:val="Caption"/>
      </w:pPr>
      <w:r>
        <w:t xml:space="preserve">Figure </w:t>
      </w:r>
      <w:r>
        <w:fldChar w:fldCharType="begin"/>
      </w:r>
      <w:r>
        <w:instrText xml:space="preserve"> SEQ Figure \* ARABIC </w:instrText>
      </w:r>
      <w:r>
        <w:fldChar w:fldCharType="separate"/>
      </w:r>
      <w:r w:rsidR="002016F0">
        <w:rPr>
          <w:noProof/>
        </w:rPr>
        <w:t>4</w:t>
      </w:r>
      <w:r>
        <w:fldChar w:fldCharType="end"/>
      </w:r>
      <w:r>
        <w:t xml:space="preserve">  </w:t>
      </w:r>
      <w:r w:rsidRPr="00163A68">
        <w:t>DAVID Annotation Summary Results showing the functional annotation categories of the top 10 hub genes identified from the hepatocellular carcinoma (HCC) protein–protein interaction network. The uploaded gene list was analyzed against the Homo sapiens background, revealing significant disease-related annotations</w:t>
      </w:r>
    </w:p>
    <w:p w14:paraId="250BC67B" w14:textId="670A70C2" w:rsidR="00163A68" w:rsidRDefault="00163A68" w:rsidP="00163A68">
      <w:pPr>
        <w:rPr>
          <w:sz w:val="36"/>
          <w:szCs w:val="36"/>
        </w:rPr>
      </w:pPr>
      <w:r>
        <w:rPr>
          <w:sz w:val="36"/>
          <w:szCs w:val="36"/>
        </w:rPr>
        <w:t xml:space="preserve">The </w:t>
      </w:r>
      <w:r w:rsidRPr="00163A68">
        <w:rPr>
          <w:sz w:val="36"/>
          <w:szCs w:val="36"/>
        </w:rPr>
        <w:t>uploaded</w:t>
      </w:r>
      <w:r>
        <w:rPr>
          <w:sz w:val="36"/>
          <w:szCs w:val="36"/>
        </w:rPr>
        <w:t xml:space="preserve"> </w:t>
      </w:r>
      <w:proofErr w:type="spellStart"/>
      <w:r>
        <w:rPr>
          <w:sz w:val="36"/>
          <w:szCs w:val="36"/>
        </w:rPr>
        <w:t>hubb</w:t>
      </w:r>
      <w:proofErr w:type="spellEnd"/>
      <w:r w:rsidRPr="00163A68">
        <w:rPr>
          <w:sz w:val="36"/>
          <w:szCs w:val="36"/>
        </w:rPr>
        <w:t xml:space="preserve"> genes</w:t>
      </w:r>
      <w:r w:rsidR="00D21CEE">
        <w:rPr>
          <w:sz w:val="36"/>
          <w:szCs w:val="36"/>
        </w:rPr>
        <w:t xml:space="preserve"> on the DAVID </w:t>
      </w:r>
      <w:r w:rsidRPr="00163A68">
        <w:rPr>
          <w:sz w:val="36"/>
          <w:szCs w:val="36"/>
        </w:rPr>
        <w:t xml:space="preserve">are associated with multiple annotation categories, including </w:t>
      </w:r>
      <w:r w:rsidRPr="00163A68">
        <w:rPr>
          <w:b/>
          <w:bCs/>
          <w:sz w:val="36"/>
          <w:szCs w:val="36"/>
        </w:rPr>
        <w:t>Disease</w:t>
      </w:r>
      <w:r w:rsidRPr="00163A68">
        <w:rPr>
          <w:sz w:val="36"/>
          <w:szCs w:val="36"/>
        </w:rPr>
        <w:t xml:space="preserve">, </w:t>
      </w:r>
      <w:r w:rsidRPr="00163A68">
        <w:rPr>
          <w:b/>
          <w:bCs/>
          <w:sz w:val="36"/>
          <w:szCs w:val="36"/>
        </w:rPr>
        <w:t>Gene Ontology (GO)</w:t>
      </w:r>
      <w:r w:rsidRPr="00163A68">
        <w:rPr>
          <w:sz w:val="36"/>
          <w:szCs w:val="36"/>
        </w:rPr>
        <w:t xml:space="preserve">, </w:t>
      </w:r>
      <w:r w:rsidRPr="00163A68">
        <w:rPr>
          <w:b/>
          <w:bCs/>
          <w:sz w:val="36"/>
          <w:szCs w:val="36"/>
        </w:rPr>
        <w:t>Functional Annotations</w:t>
      </w:r>
      <w:r w:rsidRPr="00163A68">
        <w:rPr>
          <w:sz w:val="36"/>
          <w:szCs w:val="36"/>
        </w:rPr>
        <w:t xml:space="preserve">, </w:t>
      </w:r>
      <w:r w:rsidRPr="00163A68">
        <w:rPr>
          <w:b/>
          <w:bCs/>
          <w:sz w:val="36"/>
          <w:szCs w:val="36"/>
        </w:rPr>
        <w:t>Pathways</w:t>
      </w:r>
      <w:r w:rsidRPr="00163A68">
        <w:rPr>
          <w:sz w:val="36"/>
          <w:szCs w:val="36"/>
        </w:rPr>
        <w:t xml:space="preserve">, and </w:t>
      </w:r>
      <w:r w:rsidRPr="00163A68">
        <w:rPr>
          <w:b/>
          <w:bCs/>
          <w:sz w:val="36"/>
          <w:szCs w:val="36"/>
        </w:rPr>
        <w:t>Protein Domains</w:t>
      </w:r>
      <w:r w:rsidRPr="00163A68">
        <w:rPr>
          <w:sz w:val="36"/>
          <w:szCs w:val="36"/>
        </w:rPr>
        <w:t>, demonstrating that the selected hub genes participate in diverse biological functions and disease-related processes.</w:t>
      </w:r>
    </w:p>
    <w:p w14:paraId="197138AF" w14:textId="06CA96E7" w:rsidR="00163A68" w:rsidRPr="00163A68" w:rsidRDefault="00163A68" w:rsidP="00163A68">
      <w:pPr>
        <w:rPr>
          <w:sz w:val="36"/>
          <w:szCs w:val="36"/>
        </w:rPr>
      </w:pPr>
      <w:r w:rsidRPr="00163A68">
        <w:rPr>
          <w:sz w:val="36"/>
          <w:szCs w:val="36"/>
        </w:rPr>
        <w:t>These results confirm that the selected hub genes have strong associations with human diseases, supporting their biological relevance in hepatocellular carcinoma and justifying their use for subsequent Gene Ontology (GO), KEGG pathway enrichment, and molecular docking analyses.</w:t>
      </w:r>
    </w:p>
    <w:p w14:paraId="4A5817D5" w14:textId="58159D05" w:rsidR="00163A68" w:rsidRPr="00163A68" w:rsidRDefault="00163A68" w:rsidP="00163A68"/>
    <w:p w14:paraId="32DA1103" w14:textId="77777777" w:rsidR="00163A68" w:rsidRDefault="00163A68" w:rsidP="00163A68">
      <w:pPr>
        <w:keepNext/>
      </w:pPr>
      <w:r>
        <w:rPr>
          <w:noProof/>
          <w:sz w:val="36"/>
        </w:rPr>
        <w:lastRenderedPageBreak/>
        <w:drawing>
          <wp:inline distT="0" distB="0" distL="0" distR="0" wp14:anchorId="4E0E0FFD" wp14:editId="556CC12A">
            <wp:extent cx="5943600" cy="2658745"/>
            <wp:effectExtent l="0" t="0" r="0" b="8255"/>
            <wp:docPr id="1868157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57097" name="Picture 1868157097"/>
                    <pic:cNvPicPr/>
                  </pic:nvPicPr>
                  <pic:blipFill>
                    <a:blip r:embed="rId18">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inline>
        </w:drawing>
      </w:r>
    </w:p>
    <w:p w14:paraId="25A107A4" w14:textId="321A3840" w:rsidR="00163A68" w:rsidRPr="004D0945" w:rsidRDefault="00163A68" w:rsidP="00163A68">
      <w:pPr>
        <w:rPr>
          <w:color w:val="44546A" w:themeColor="text2"/>
          <w:sz w:val="36"/>
        </w:rPr>
      </w:pPr>
      <w:r w:rsidRPr="00F40D5E">
        <w:rPr>
          <w:i/>
          <w:iCs/>
          <w:color w:val="44546A" w:themeColor="text2"/>
          <w:sz w:val="18"/>
          <w:szCs w:val="18"/>
        </w:rPr>
        <w:t xml:space="preserve">Figure </w:t>
      </w:r>
      <w:r w:rsidRPr="00F40D5E">
        <w:rPr>
          <w:i/>
          <w:iCs/>
          <w:color w:val="44546A" w:themeColor="text2"/>
          <w:sz w:val="18"/>
          <w:szCs w:val="18"/>
        </w:rPr>
        <w:fldChar w:fldCharType="begin"/>
      </w:r>
      <w:r w:rsidRPr="00F40D5E">
        <w:rPr>
          <w:i/>
          <w:iCs/>
          <w:color w:val="44546A" w:themeColor="text2"/>
          <w:sz w:val="18"/>
          <w:szCs w:val="18"/>
        </w:rPr>
        <w:instrText xml:space="preserve"> SEQ Figure \* ARABIC </w:instrText>
      </w:r>
      <w:r w:rsidRPr="00F40D5E">
        <w:rPr>
          <w:i/>
          <w:iCs/>
          <w:color w:val="44546A" w:themeColor="text2"/>
          <w:sz w:val="18"/>
          <w:szCs w:val="18"/>
        </w:rPr>
        <w:fldChar w:fldCharType="separate"/>
      </w:r>
      <w:r w:rsidR="002016F0">
        <w:rPr>
          <w:i/>
          <w:iCs/>
          <w:noProof/>
          <w:color w:val="44546A" w:themeColor="text2"/>
          <w:sz w:val="18"/>
          <w:szCs w:val="18"/>
        </w:rPr>
        <w:t>5</w:t>
      </w:r>
      <w:r w:rsidRPr="00F40D5E">
        <w:rPr>
          <w:i/>
          <w:iCs/>
          <w:color w:val="44546A" w:themeColor="text2"/>
          <w:sz w:val="18"/>
          <w:szCs w:val="18"/>
        </w:rPr>
        <w:fldChar w:fldCharType="end"/>
      </w:r>
      <w:r w:rsidRPr="00F40D5E">
        <w:rPr>
          <w:color w:val="44546A" w:themeColor="text2"/>
          <w:sz w:val="20"/>
          <w:szCs w:val="20"/>
        </w:rPr>
        <w:t xml:space="preserve"> </w:t>
      </w:r>
      <w:r w:rsidRPr="004D0945">
        <w:rPr>
          <w:i/>
          <w:iCs/>
          <w:color w:val="44546A" w:themeColor="text2"/>
          <w:sz w:val="18"/>
          <w:szCs w:val="12"/>
        </w:rPr>
        <w:t xml:space="preserve">The </w:t>
      </w:r>
      <w:r w:rsidRPr="004D0945">
        <w:rPr>
          <w:b/>
          <w:bCs/>
          <w:i/>
          <w:iCs/>
          <w:color w:val="44546A" w:themeColor="text2"/>
          <w:sz w:val="18"/>
          <w:szCs w:val="12"/>
        </w:rPr>
        <w:t>Functional Annotation Chart</w:t>
      </w:r>
      <w:r w:rsidRPr="004D0945">
        <w:rPr>
          <w:i/>
          <w:iCs/>
          <w:color w:val="44546A" w:themeColor="text2"/>
          <w:sz w:val="18"/>
          <w:szCs w:val="12"/>
        </w:rPr>
        <w:t xml:space="preserve"> presents the enrichment results as a table, where each row corresponds to one significantly enriched annotation term (GO, KEGG, </w:t>
      </w:r>
      <w:proofErr w:type="spellStart"/>
      <w:r w:rsidRPr="004D0945">
        <w:rPr>
          <w:i/>
          <w:iCs/>
          <w:color w:val="44546A" w:themeColor="text2"/>
          <w:sz w:val="18"/>
          <w:szCs w:val="12"/>
        </w:rPr>
        <w:t>InterPro</w:t>
      </w:r>
      <w:proofErr w:type="spellEnd"/>
      <w:r w:rsidRPr="004D0945">
        <w:rPr>
          <w:i/>
          <w:iCs/>
          <w:color w:val="44546A" w:themeColor="text2"/>
          <w:sz w:val="18"/>
          <w:szCs w:val="12"/>
        </w:rPr>
        <w:t>, UniProt keywords, etc.). For GO enrichment analysis, the chart is divided into:</w:t>
      </w:r>
      <w:r w:rsidR="00F40D5E" w:rsidRPr="00F40D5E">
        <w:rPr>
          <w:i/>
          <w:iCs/>
          <w:color w:val="44546A" w:themeColor="text2"/>
          <w:sz w:val="18"/>
          <w:szCs w:val="12"/>
        </w:rPr>
        <w:t xml:space="preserve"> </w:t>
      </w:r>
      <w:r w:rsidRPr="004D0945">
        <w:rPr>
          <w:b/>
          <w:bCs/>
          <w:i/>
          <w:iCs/>
          <w:color w:val="44546A" w:themeColor="text2"/>
          <w:sz w:val="18"/>
          <w:szCs w:val="12"/>
        </w:rPr>
        <w:t>GOTERM_BP_DIRECT</w:t>
      </w:r>
      <w:r w:rsidRPr="004D0945">
        <w:rPr>
          <w:i/>
          <w:iCs/>
          <w:color w:val="44546A" w:themeColor="text2"/>
          <w:sz w:val="18"/>
          <w:szCs w:val="12"/>
        </w:rPr>
        <w:t xml:space="preserve"> (</w:t>
      </w:r>
      <w:r w:rsidR="00F40D5E" w:rsidRPr="00F40D5E">
        <w:rPr>
          <w:i/>
          <w:iCs/>
          <w:color w:val="44546A" w:themeColor="text2"/>
          <w:sz w:val="18"/>
          <w:szCs w:val="12"/>
        </w:rPr>
        <w:t>Biological Process</w:t>
      </w:r>
      <w:r w:rsidRPr="00F40D5E">
        <w:rPr>
          <w:i/>
          <w:iCs/>
          <w:color w:val="44546A" w:themeColor="text2"/>
          <w:sz w:val="18"/>
          <w:szCs w:val="12"/>
        </w:rPr>
        <w:t>)</w:t>
      </w:r>
      <w:r w:rsidR="00F40D5E" w:rsidRPr="00F40D5E">
        <w:rPr>
          <w:i/>
          <w:iCs/>
          <w:color w:val="44546A" w:themeColor="text2"/>
          <w:sz w:val="18"/>
          <w:szCs w:val="12"/>
        </w:rPr>
        <w:t xml:space="preserve">, </w:t>
      </w:r>
      <w:r w:rsidRPr="004D0945">
        <w:rPr>
          <w:b/>
          <w:bCs/>
          <w:i/>
          <w:iCs/>
          <w:color w:val="44546A" w:themeColor="text2"/>
          <w:sz w:val="18"/>
          <w:szCs w:val="12"/>
        </w:rPr>
        <w:t>GOTERM_CC_DIRECT</w:t>
      </w:r>
      <w:r w:rsidRPr="004D0945">
        <w:rPr>
          <w:i/>
          <w:iCs/>
          <w:color w:val="44546A" w:themeColor="text2"/>
          <w:sz w:val="18"/>
          <w:szCs w:val="12"/>
        </w:rPr>
        <w:t xml:space="preserve"> (Cellular Component)</w:t>
      </w:r>
      <w:r w:rsidR="00F40D5E" w:rsidRPr="00F40D5E">
        <w:rPr>
          <w:i/>
          <w:iCs/>
          <w:color w:val="44546A" w:themeColor="text2"/>
          <w:sz w:val="18"/>
          <w:szCs w:val="12"/>
        </w:rPr>
        <w:t xml:space="preserve">, </w:t>
      </w:r>
      <w:r w:rsidRPr="004D0945">
        <w:rPr>
          <w:b/>
          <w:bCs/>
          <w:i/>
          <w:iCs/>
          <w:color w:val="44546A" w:themeColor="text2"/>
          <w:sz w:val="18"/>
          <w:szCs w:val="12"/>
        </w:rPr>
        <w:t>GOTERM_MF_DIRECT</w:t>
      </w:r>
      <w:r w:rsidRPr="004D0945">
        <w:rPr>
          <w:i/>
          <w:iCs/>
          <w:color w:val="44546A" w:themeColor="text2"/>
          <w:sz w:val="18"/>
          <w:szCs w:val="12"/>
        </w:rPr>
        <w:t xml:space="preserve"> (Molecular Function)</w:t>
      </w:r>
      <w:r w:rsidRPr="004D0945">
        <w:rPr>
          <w:color w:val="44546A" w:themeColor="text2"/>
          <w:sz w:val="18"/>
          <w:szCs w:val="12"/>
        </w:rPr>
        <w:t xml:space="preserve"> </w:t>
      </w:r>
    </w:p>
    <w:p w14:paraId="7782A500" w14:textId="77777777" w:rsidR="00F40D5E" w:rsidRDefault="00F40D5E" w:rsidP="00F40D5E">
      <w:pPr>
        <w:rPr>
          <w:b/>
          <w:bCs/>
          <w:sz w:val="48"/>
        </w:rPr>
      </w:pPr>
      <w:r w:rsidRPr="00F40D5E">
        <w:rPr>
          <w:b/>
          <w:bCs/>
          <w:sz w:val="48"/>
        </w:rPr>
        <w:t>Kegg pathway</w:t>
      </w:r>
      <w:r>
        <w:rPr>
          <w:b/>
          <w:bCs/>
          <w:sz w:val="48"/>
        </w:rPr>
        <w:t>:</w:t>
      </w:r>
    </w:p>
    <w:p w14:paraId="201CC53E" w14:textId="04D688A0" w:rsidR="008810B0" w:rsidRPr="00D21CEE" w:rsidRDefault="00F40D5E" w:rsidP="008810B0">
      <w:pPr>
        <w:keepNext/>
        <w:rPr>
          <w:sz w:val="36"/>
          <w:szCs w:val="28"/>
        </w:rPr>
      </w:pPr>
      <w:r>
        <w:rPr>
          <w:sz w:val="36"/>
          <w:szCs w:val="28"/>
        </w:rPr>
        <w:t>E</w:t>
      </w:r>
      <w:r w:rsidRPr="0043017A">
        <w:rPr>
          <w:sz w:val="36"/>
          <w:szCs w:val="28"/>
        </w:rPr>
        <w:t xml:space="preserve">xamining each gene individually, KEGG evaluates whether a group of genes is overrepresented in known biological pathways compared to what would be expected by </w:t>
      </w:r>
      <w:proofErr w:type="spellStart"/>
      <w:proofErr w:type="gramStart"/>
      <w:r w:rsidRPr="0043017A">
        <w:rPr>
          <w:sz w:val="36"/>
          <w:szCs w:val="28"/>
        </w:rPr>
        <w:t>chance.In</w:t>
      </w:r>
      <w:proofErr w:type="spellEnd"/>
      <w:proofErr w:type="gramEnd"/>
      <w:r w:rsidRPr="0043017A">
        <w:rPr>
          <w:sz w:val="36"/>
          <w:szCs w:val="28"/>
        </w:rPr>
        <w:t xml:space="preserve"> the context of </w:t>
      </w:r>
      <w:r w:rsidRPr="0043017A">
        <w:rPr>
          <w:b/>
          <w:bCs/>
          <w:sz w:val="36"/>
          <w:szCs w:val="28"/>
        </w:rPr>
        <w:t>hepatocellular carcinoma (HCC)</w:t>
      </w:r>
      <w:r w:rsidRPr="0043017A">
        <w:rPr>
          <w:sz w:val="36"/>
          <w:szCs w:val="28"/>
        </w:rPr>
        <w:t xml:space="preserve">, KEGG enrichment analysis identifies the signaling pathways that contribute to liver cancer initiation, progression, metastasis, angiogenesis, and resistance to therapy. This provides a systems-level understanding of disease mechanisms and helps identify potential therapeutic </w:t>
      </w:r>
      <w:r w:rsidRPr="0043017A">
        <w:rPr>
          <w:sz w:val="36"/>
          <w:szCs w:val="28"/>
        </w:rPr>
        <w:lastRenderedPageBreak/>
        <w:t>target</w:t>
      </w:r>
      <w:r w:rsidR="008810B0">
        <w:rPr>
          <w:noProof/>
        </w:rPr>
        <w:drawing>
          <wp:inline distT="0" distB="0" distL="0" distR="0" wp14:anchorId="7A023174" wp14:editId="0764DED0">
            <wp:extent cx="5943600" cy="2610485"/>
            <wp:effectExtent l="0" t="0" r="0" b="0"/>
            <wp:docPr id="432264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4963" name="Picture 432264963"/>
                    <pic:cNvPicPr/>
                  </pic:nvPicPr>
                  <pic:blipFill>
                    <a:blip r:embed="rId19">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p>
    <w:p w14:paraId="4DBD020E" w14:textId="46A62FBF" w:rsidR="00D21CEE" w:rsidRPr="00D21CEE" w:rsidRDefault="008810B0" w:rsidP="00D21CEE">
      <w:pPr>
        <w:pStyle w:val="Caption"/>
        <w:rPr>
          <w:noProof/>
          <w:sz w:val="36"/>
        </w:rPr>
      </w:pPr>
      <w:r>
        <w:t xml:space="preserve">Figure </w:t>
      </w:r>
      <w:r>
        <w:fldChar w:fldCharType="begin"/>
      </w:r>
      <w:r>
        <w:instrText xml:space="preserve"> SEQ Figure \* ARABIC </w:instrText>
      </w:r>
      <w:r>
        <w:fldChar w:fldCharType="separate"/>
      </w:r>
      <w:r w:rsidR="002016F0">
        <w:rPr>
          <w:noProof/>
        </w:rPr>
        <w:t>6</w:t>
      </w:r>
      <w:r>
        <w:fldChar w:fldCharType="end"/>
      </w:r>
      <w:r>
        <w:t xml:space="preserve"> The functional annotation chart from the DAVID shows the KEGG pathway of hepatocellular carcinoma.</w:t>
      </w:r>
      <w:r w:rsidR="00D21CEE" w:rsidRPr="00D21CEE">
        <w:rPr>
          <w:noProof/>
          <w:sz w:val="36"/>
        </w:rPr>
        <w:t xml:space="preserve"> </w:t>
      </w:r>
      <w:r w:rsidR="00D21CEE">
        <w:rPr>
          <w:noProof/>
          <w:sz w:val="36"/>
        </w:rPr>
        <w:drawing>
          <wp:inline distT="0" distB="0" distL="0" distR="0" wp14:anchorId="52B30C6E" wp14:editId="31CD77D7">
            <wp:extent cx="5943600" cy="3977640"/>
            <wp:effectExtent l="0" t="0" r="0" b="0"/>
            <wp:docPr id="504043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3398" name="Picture 5040433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r w:rsidR="00D21CEE">
        <w:t xml:space="preserve">Figure </w:t>
      </w:r>
      <w:r w:rsidR="00D21CEE">
        <w:fldChar w:fldCharType="begin"/>
      </w:r>
      <w:r w:rsidR="00D21CEE">
        <w:instrText xml:space="preserve"> SEQ Figure \* ARABIC </w:instrText>
      </w:r>
      <w:r w:rsidR="00D21CEE">
        <w:fldChar w:fldCharType="separate"/>
      </w:r>
      <w:r w:rsidR="002016F0">
        <w:rPr>
          <w:noProof/>
        </w:rPr>
        <w:t>7</w:t>
      </w:r>
      <w:r w:rsidR="00D21CEE">
        <w:fldChar w:fldCharType="end"/>
      </w:r>
      <w:r w:rsidR="00D21CEE">
        <w:t xml:space="preserve"> </w:t>
      </w:r>
      <w:r w:rsidR="00D21CEE" w:rsidRPr="00995157">
        <w:t xml:space="preserve">KEGG pathway map of hepatocellular carcinoma (HCC) showing key signaling cascades (EGFR/IGF1R–PI3K–Akt–mTOR, RAS–MAPK, </w:t>
      </w:r>
      <w:proofErr w:type="spellStart"/>
      <w:r w:rsidR="00D21CEE" w:rsidRPr="00995157">
        <w:t>Wnt</w:t>
      </w:r>
      <w:proofErr w:type="spellEnd"/>
      <w:r w:rsidR="00D21CEE" w:rsidRPr="00995157">
        <w:t>/β-catenin, TGF-β, p53) driving HCC progression from cirrhosis to metastasis, with oncogenes and tumor suppressors highlighting potential druggable targets. Adapted from the KEGG Pathway Database (</w:t>
      </w:r>
      <w:proofErr w:type="spellStart"/>
      <w:r w:rsidR="00D21CEE" w:rsidRPr="00995157">
        <w:t>Kanehisa</w:t>
      </w:r>
      <w:proofErr w:type="spellEnd"/>
      <w:r w:rsidR="00D21CEE" w:rsidRPr="00995157">
        <w:t xml:space="preserve"> Laboratories)</w:t>
      </w:r>
    </w:p>
    <w:p w14:paraId="290F5F05" w14:textId="77777777" w:rsidR="00D21CEE" w:rsidRPr="00D21CEE" w:rsidRDefault="00D21CEE" w:rsidP="00D21CEE"/>
    <w:p w14:paraId="316E1788" w14:textId="77777777" w:rsidR="00D21CEE" w:rsidRPr="004D0945" w:rsidRDefault="00D21CEE" w:rsidP="00D21CEE">
      <w:pPr>
        <w:rPr>
          <w:b/>
          <w:bCs/>
          <w:sz w:val="48"/>
          <w:szCs w:val="22"/>
        </w:rPr>
      </w:pPr>
      <w:r w:rsidRPr="004D0945">
        <w:rPr>
          <w:b/>
          <w:bCs/>
          <w:sz w:val="48"/>
          <w:szCs w:val="22"/>
        </w:rPr>
        <w:lastRenderedPageBreak/>
        <w:t>Protein selection:</w:t>
      </w:r>
    </w:p>
    <w:p w14:paraId="6789823D" w14:textId="77777777" w:rsidR="00D21CEE" w:rsidRDefault="00D21CEE" w:rsidP="00D21CEE">
      <w:pPr>
        <w:rPr>
          <w:sz w:val="36"/>
        </w:rPr>
      </w:pPr>
      <w:r w:rsidRPr="007607D8">
        <w:rPr>
          <w:sz w:val="36"/>
        </w:rPr>
        <w:t xml:space="preserve">Based on protein–protein interaction (PPI) network analysis and hub gene identification using the Maximum Clique Centrality (MCC) algorithm in </w:t>
      </w:r>
      <w:proofErr w:type="spellStart"/>
      <w:r w:rsidRPr="007607D8">
        <w:rPr>
          <w:sz w:val="36"/>
        </w:rPr>
        <w:t>Cytoscape</w:t>
      </w:r>
      <w:proofErr w:type="spellEnd"/>
      <w:r w:rsidRPr="007607D8">
        <w:rPr>
          <w:sz w:val="36"/>
        </w:rPr>
        <w:t>,</w:t>
      </w:r>
      <w:r>
        <w:rPr>
          <w:sz w:val="36"/>
        </w:rPr>
        <w:t xml:space="preserve"> and the KEGG pathway analysis</w:t>
      </w:r>
      <w:r w:rsidRPr="007607D8">
        <w:rPr>
          <w:sz w:val="36"/>
        </w:rPr>
        <w:t xml:space="preserve"> </w:t>
      </w:r>
      <w:r w:rsidRPr="007607D8">
        <w:rPr>
          <w:b/>
          <w:bCs/>
          <w:sz w:val="36"/>
        </w:rPr>
        <w:t>PIK3CA</w:t>
      </w:r>
      <w:r w:rsidRPr="007607D8">
        <w:rPr>
          <w:sz w:val="36"/>
        </w:rPr>
        <w:t xml:space="preserve"> (Phosphatidylinositol-4,5-bisphosphate 3-kinase catalytic subunit alpha) was selected as the target protein for molecular docking. PIK3CA is a key oncogene involved in the </w:t>
      </w:r>
      <w:r w:rsidRPr="007607D8">
        <w:rPr>
          <w:b/>
          <w:bCs/>
          <w:sz w:val="36"/>
        </w:rPr>
        <w:t>PI3K/Akt signaling pathway</w:t>
      </w:r>
      <w:r w:rsidRPr="007607D8">
        <w:rPr>
          <w:sz w:val="36"/>
        </w:rPr>
        <w:t>, which regulates essential cellular processes including cell proliferation, survival, growth, metabolism, and apoptosis. Aberrant activation or mutation of PIK3CA has been frequently reported in hepatocellular carcinoma (HCC), contributing to tumor initiation, progression, angiogenesis, and resistance to therapy. KEGG pathway enrichment analysis further demonstrated that PIK3CA is significantly associated with the hepatocellular carcinoma pathway, highlighting its biological relevance in HCC pathogenesis. Therefore, PIK3CA was selected as the therapeutic target for this study.</w:t>
      </w:r>
    </w:p>
    <w:p w14:paraId="49B38636" w14:textId="06925190" w:rsidR="00CE382F" w:rsidRPr="00D21CEE" w:rsidRDefault="00D21CEE" w:rsidP="00D21CEE">
      <w:pPr>
        <w:rPr>
          <w:b/>
          <w:bCs/>
          <w:sz w:val="40"/>
        </w:rPr>
      </w:pPr>
      <w:r w:rsidRPr="008810B0">
        <w:rPr>
          <w:b/>
          <w:bCs/>
          <w:sz w:val="44"/>
        </w:rPr>
        <w:t>PROTEIN RETRIVAL:</w:t>
      </w:r>
      <w:r w:rsidRPr="007607D8">
        <w:rPr>
          <w:sz w:val="36"/>
        </w:rPr>
        <w:t xml:space="preserve"> The three-dimensional crystal structure of human PIK3CA was retrieved from the Protein Data Bank </w:t>
      </w:r>
      <w:r w:rsidRPr="008810B0">
        <w:rPr>
          <w:b/>
          <w:bCs/>
          <w:sz w:val="40"/>
        </w:rPr>
        <w:t>(PDB ID: 4JPS</w:t>
      </w:r>
      <w:r>
        <w:rPr>
          <w:b/>
          <w:bCs/>
          <w:sz w:val="40"/>
        </w:rPr>
        <w:t xml:space="preserve"> </w:t>
      </w:r>
      <w:r w:rsidRPr="00D21CEE">
        <w:rPr>
          <w:b/>
          <w:bCs/>
          <w:sz w:val="40"/>
        </w:rPr>
        <w:t>Resolution: 2.20 Å</w:t>
      </w:r>
      <w:r>
        <w:rPr>
          <w:b/>
          <w:bCs/>
          <w:sz w:val="40"/>
        </w:rPr>
        <w:t>)</w:t>
      </w:r>
      <w:r w:rsidRPr="00D21CEE">
        <w:rPr>
          <w:sz w:val="36"/>
        </w:rPr>
        <w:t xml:space="preserve"> because it provides a high-quality experimentally determined structure suitable for molecular </w:t>
      </w:r>
      <w:r w:rsidR="00CE382F" w:rsidRPr="00D21CEE">
        <w:rPr>
          <w:b/>
          <w:bCs/>
          <w:sz w:val="48"/>
        </w:rPr>
        <w:br w:type="page"/>
      </w:r>
    </w:p>
    <w:p w14:paraId="7F47CDDD" w14:textId="77777777" w:rsidR="008810B0" w:rsidRDefault="008810B0" w:rsidP="008810B0"/>
    <w:p w14:paraId="6B0D08C1" w14:textId="450023E6" w:rsidR="008810B0" w:rsidRPr="008810B0" w:rsidRDefault="008810B0" w:rsidP="008810B0">
      <w:pPr>
        <w:rPr>
          <w:b/>
          <w:bCs/>
          <w:sz w:val="44"/>
        </w:rPr>
      </w:pPr>
      <w:r w:rsidRPr="007607D8">
        <w:rPr>
          <w:sz w:val="36"/>
        </w:rPr>
        <w:t>docking studies and contains a well-characterized active site for evaluating the binding interactions of selected phytochemicals.</w:t>
      </w:r>
    </w:p>
    <w:p w14:paraId="70D80C12" w14:textId="77777777" w:rsidR="008810B0" w:rsidRDefault="008810B0" w:rsidP="008810B0">
      <w:pPr>
        <w:keepNext/>
      </w:pPr>
      <w:r>
        <w:rPr>
          <w:noProof/>
          <w:sz w:val="36"/>
        </w:rPr>
        <w:drawing>
          <wp:inline distT="0" distB="0" distL="0" distR="0" wp14:anchorId="3A2B5586" wp14:editId="5E09D160">
            <wp:extent cx="4801270" cy="3724795"/>
            <wp:effectExtent l="0" t="0" r="0" b="9525"/>
            <wp:docPr id="315223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23747" name="Picture 315223747"/>
                    <pic:cNvPicPr/>
                  </pic:nvPicPr>
                  <pic:blipFill>
                    <a:blip r:embed="rId21">
                      <a:extLst>
                        <a:ext uri="{28A0092B-C50C-407E-A947-70E740481C1C}">
                          <a14:useLocalDpi xmlns:a14="http://schemas.microsoft.com/office/drawing/2010/main" val="0"/>
                        </a:ext>
                      </a:extLst>
                    </a:blip>
                    <a:stretch>
                      <a:fillRect/>
                    </a:stretch>
                  </pic:blipFill>
                  <pic:spPr>
                    <a:xfrm>
                      <a:off x="0" y="0"/>
                      <a:ext cx="4801270" cy="3724795"/>
                    </a:xfrm>
                    <a:prstGeom prst="rect">
                      <a:avLst/>
                    </a:prstGeom>
                  </pic:spPr>
                </pic:pic>
              </a:graphicData>
            </a:graphic>
          </wp:inline>
        </w:drawing>
      </w:r>
    </w:p>
    <w:p w14:paraId="25732772" w14:textId="0B952489" w:rsidR="008810B0" w:rsidRPr="008810B0" w:rsidRDefault="008810B0" w:rsidP="008810B0">
      <w:pPr>
        <w:pStyle w:val="Caption"/>
      </w:pPr>
      <w:r>
        <w:t xml:space="preserve">Figure </w:t>
      </w:r>
      <w:r>
        <w:fldChar w:fldCharType="begin"/>
      </w:r>
      <w:r>
        <w:instrText xml:space="preserve"> SEQ Figure \* ARABIC </w:instrText>
      </w:r>
      <w:r>
        <w:fldChar w:fldCharType="separate"/>
      </w:r>
      <w:r w:rsidR="002016F0">
        <w:rPr>
          <w:noProof/>
        </w:rPr>
        <w:t>8</w:t>
      </w:r>
      <w:r>
        <w:fldChar w:fldCharType="end"/>
      </w:r>
      <w:r>
        <w:t xml:space="preserve"> </w:t>
      </w:r>
      <w:r w:rsidRPr="008810B0">
        <w:t>Cartoon representation of the crystal structure of PI3Kα (PDB ID: 4JPS), showing the catalytic subunit (p110α) in complex with the p85α regulatory subunit, co-crystallized with an isoform-selective inhibitor. α-helices are shown in red, β-strands in cyan, and loop regions in green/white, illustrating the mixed α/β fold of the kinase domain relevant to structure-based drug design against PI3Kα.</w:t>
      </w:r>
    </w:p>
    <w:p w14:paraId="7104E2CD" w14:textId="77777777" w:rsidR="00D21CEE" w:rsidRDefault="00D21CEE">
      <w:pPr>
        <w:rPr>
          <w:b/>
          <w:bCs/>
          <w:sz w:val="52"/>
        </w:rPr>
      </w:pPr>
      <w:r w:rsidRPr="00D21CEE">
        <w:rPr>
          <w:b/>
          <w:bCs/>
          <w:sz w:val="52"/>
        </w:rPr>
        <w:t>Ligand selection:</w:t>
      </w:r>
    </w:p>
    <w:p w14:paraId="17B50213" w14:textId="7F15C6E5" w:rsidR="001C4EFE" w:rsidRPr="001C4EFE" w:rsidRDefault="001C4EFE">
      <w:pPr>
        <w:rPr>
          <w:sz w:val="36"/>
        </w:rPr>
      </w:pPr>
      <w:r w:rsidRPr="001C4EFE">
        <w:rPr>
          <w:sz w:val="36"/>
        </w:rPr>
        <w:t xml:space="preserve">In structure-based drug design, ligands are selected because they have the potential to interact specifically with the target protein and modulate its biological function. The selection of appropriate ligands is based on their reported biological activity, target specificity, favorable binding affinity, drug-likeness, pharmacokinetic properties, and safety profile. During </w:t>
      </w:r>
      <w:r w:rsidRPr="001C4EFE">
        <w:rPr>
          <w:sz w:val="36"/>
        </w:rPr>
        <w:lastRenderedPageBreak/>
        <w:t>molecular docking, the ligand binds to the active site of the target protein through hydrogen bonds, hydrophobic interactions, and other non-covalent forces, allowing researchers to predict its binding mode and inhibitory potential. Therefore, careful ligand selection is a critical step in identifying promising lead compounds for further drug development</w:t>
      </w:r>
      <w:r>
        <w:rPr>
          <w:sz w:val="36"/>
        </w:rPr>
        <w:t xml:space="preserve"> the shortlisted ligands to dock with the 4JPS protein </w:t>
      </w:r>
      <w:proofErr w:type="gramStart"/>
      <w:r>
        <w:rPr>
          <w:sz w:val="36"/>
        </w:rPr>
        <w:t>are :</w:t>
      </w:r>
      <w:proofErr w:type="gramEnd"/>
    </w:p>
    <w:tbl>
      <w:tblPr>
        <w:tblStyle w:val="PlainTable2"/>
        <w:tblW w:w="0" w:type="auto"/>
        <w:tblLook w:val="04A0" w:firstRow="1" w:lastRow="0" w:firstColumn="1" w:lastColumn="0" w:noHBand="0" w:noVBand="1"/>
      </w:tblPr>
      <w:tblGrid>
        <w:gridCol w:w="9350"/>
      </w:tblGrid>
      <w:tr w:rsidR="001C4EFE" w14:paraId="69FB4B16" w14:textId="77777777" w:rsidTr="00CC1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W w:w="6960" w:type="dxa"/>
              <w:tblCellMar>
                <w:left w:w="0" w:type="dxa"/>
                <w:right w:w="0" w:type="dxa"/>
              </w:tblCellMar>
              <w:tblLook w:val="04A0" w:firstRow="1" w:lastRow="0" w:firstColumn="1" w:lastColumn="0" w:noHBand="0" w:noVBand="1"/>
            </w:tblPr>
            <w:tblGrid>
              <w:gridCol w:w="2260"/>
              <w:gridCol w:w="1300"/>
              <w:gridCol w:w="1700"/>
              <w:gridCol w:w="1700"/>
            </w:tblGrid>
            <w:tr w:rsidR="001C4EFE" w:rsidRPr="001C4EFE" w14:paraId="30918632" w14:textId="77777777" w:rsidTr="00CC19EB">
              <w:trPr>
                <w:trHeight w:val="300"/>
              </w:trPr>
              <w:tc>
                <w:tcPr>
                  <w:tcW w:w="2260" w:type="dxa"/>
                  <w:tcBorders>
                    <w:top w:val="nil"/>
                    <w:left w:val="nil"/>
                    <w:bottom w:val="nil"/>
                    <w:right w:val="nil"/>
                  </w:tcBorders>
                  <w:noWrap/>
                  <w:tcMar>
                    <w:top w:w="15" w:type="dxa"/>
                    <w:left w:w="15" w:type="dxa"/>
                    <w:bottom w:w="0" w:type="dxa"/>
                    <w:right w:w="15" w:type="dxa"/>
                  </w:tcMar>
                  <w:vAlign w:val="bottom"/>
                  <w:hideMark/>
                </w:tcPr>
                <w:p w14:paraId="2F525ACA" w14:textId="77777777" w:rsidR="001C4EFE" w:rsidRPr="001C4EFE" w:rsidRDefault="001C4EFE" w:rsidP="00CC19EB">
                  <w:pPr>
                    <w:rPr>
                      <w:rFonts w:ascii="Calibri" w:hAnsi="Calibri" w:cs="Calibri"/>
                      <w:b/>
                      <w:bCs/>
                      <w:color w:val="000000"/>
                      <w:sz w:val="22"/>
                      <w:szCs w:val="22"/>
                    </w:rPr>
                  </w:pPr>
                  <w:r w:rsidRPr="001C4EFE">
                    <w:rPr>
                      <w:rFonts w:ascii="Calibri" w:hAnsi="Calibri" w:cs="Calibri"/>
                      <w:b/>
                      <w:bCs/>
                      <w:color w:val="000000"/>
                      <w:sz w:val="22"/>
                      <w:szCs w:val="22"/>
                    </w:rPr>
                    <w:t xml:space="preserve">compound name </w:t>
                  </w:r>
                </w:p>
              </w:tc>
              <w:tc>
                <w:tcPr>
                  <w:tcW w:w="1300" w:type="dxa"/>
                  <w:tcBorders>
                    <w:top w:val="nil"/>
                    <w:left w:val="nil"/>
                    <w:bottom w:val="nil"/>
                    <w:right w:val="nil"/>
                  </w:tcBorders>
                  <w:noWrap/>
                  <w:tcMar>
                    <w:top w:w="15" w:type="dxa"/>
                    <w:left w:w="15" w:type="dxa"/>
                    <w:bottom w:w="0" w:type="dxa"/>
                    <w:right w:w="15" w:type="dxa"/>
                  </w:tcMar>
                  <w:vAlign w:val="bottom"/>
                  <w:hideMark/>
                </w:tcPr>
                <w:p w14:paraId="0571B846" w14:textId="77777777" w:rsidR="001C4EFE" w:rsidRPr="001C4EFE" w:rsidRDefault="001C4EFE" w:rsidP="00CC19EB">
                  <w:pPr>
                    <w:rPr>
                      <w:rFonts w:ascii="Calibri" w:hAnsi="Calibri" w:cs="Calibri"/>
                      <w:b/>
                      <w:bCs/>
                      <w:color w:val="000000"/>
                      <w:sz w:val="22"/>
                      <w:szCs w:val="22"/>
                    </w:rPr>
                  </w:pPr>
                  <w:proofErr w:type="spellStart"/>
                  <w:r w:rsidRPr="001C4EFE">
                    <w:rPr>
                      <w:rFonts w:ascii="Calibri" w:hAnsi="Calibri" w:cs="Calibri"/>
                      <w:b/>
                      <w:bCs/>
                      <w:color w:val="000000"/>
                      <w:sz w:val="22"/>
                      <w:szCs w:val="22"/>
                    </w:rPr>
                    <w:t>pubchem</w:t>
                  </w:r>
                  <w:proofErr w:type="spellEnd"/>
                  <w:r w:rsidRPr="001C4EFE">
                    <w:rPr>
                      <w:rFonts w:ascii="Calibri" w:hAnsi="Calibri" w:cs="Calibri"/>
                      <w:b/>
                      <w:bCs/>
                      <w:color w:val="000000"/>
                      <w:sz w:val="22"/>
                      <w:szCs w:val="22"/>
                    </w:rPr>
                    <w:t xml:space="preserve"> ID </w:t>
                  </w:r>
                </w:p>
              </w:tc>
              <w:tc>
                <w:tcPr>
                  <w:tcW w:w="1700" w:type="dxa"/>
                  <w:tcBorders>
                    <w:top w:val="nil"/>
                    <w:left w:val="nil"/>
                    <w:bottom w:val="nil"/>
                    <w:right w:val="nil"/>
                  </w:tcBorders>
                </w:tcPr>
                <w:p w14:paraId="76B71471" w14:textId="77777777" w:rsidR="001C4EFE" w:rsidRPr="001C4EFE" w:rsidRDefault="001C4EFE" w:rsidP="00CC19EB">
                  <w:pPr>
                    <w:rPr>
                      <w:rFonts w:ascii="Calibri" w:hAnsi="Calibri" w:cs="Calibri"/>
                      <w:color w:val="000000"/>
                      <w:sz w:val="22"/>
                      <w:szCs w:val="22"/>
                    </w:rPr>
                  </w:pPr>
                </w:p>
              </w:tc>
              <w:tc>
                <w:tcPr>
                  <w:tcW w:w="1700" w:type="dxa"/>
                  <w:tcBorders>
                    <w:top w:val="nil"/>
                    <w:left w:val="nil"/>
                    <w:bottom w:val="nil"/>
                    <w:right w:val="nil"/>
                  </w:tcBorders>
                  <w:noWrap/>
                  <w:tcMar>
                    <w:top w:w="15" w:type="dxa"/>
                    <w:left w:w="15" w:type="dxa"/>
                    <w:bottom w:w="0" w:type="dxa"/>
                    <w:right w:w="15" w:type="dxa"/>
                  </w:tcMar>
                  <w:vAlign w:val="bottom"/>
                  <w:hideMark/>
                </w:tcPr>
                <w:p w14:paraId="68982A09" w14:textId="77777777" w:rsidR="001C4EFE" w:rsidRPr="001C4EFE" w:rsidRDefault="001C4EFE" w:rsidP="00CC19EB">
                  <w:pPr>
                    <w:rPr>
                      <w:rFonts w:ascii="Calibri" w:hAnsi="Calibri" w:cs="Calibri"/>
                      <w:color w:val="000000"/>
                      <w:sz w:val="22"/>
                      <w:szCs w:val="22"/>
                    </w:rPr>
                  </w:pPr>
                  <w:r w:rsidRPr="001C4EFE">
                    <w:rPr>
                      <w:rFonts w:ascii="Calibri" w:hAnsi="Calibri" w:cs="Calibri"/>
                      <w:color w:val="000000"/>
                      <w:sz w:val="22"/>
                      <w:szCs w:val="22"/>
                    </w:rPr>
                    <w:t xml:space="preserve">  molecular weight </w:t>
                  </w:r>
                </w:p>
              </w:tc>
            </w:tr>
            <w:tr w:rsidR="001C4EFE" w:rsidRPr="001C4EFE" w14:paraId="56218698"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59D5E75B" w14:textId="77777777" w:rsidR="001C4EFE" w:rsidRPr="001C4EFE" w:rsidRDefault="001C4EFE" w:rsidP="00CC19EB">
                  <w:pPr>
                    <w:rPr>
                      <w:rFonts w:ascii="Calibri" w:hAnsi="Calibri" w:cs="Calibri"/>
                      <w:color w:val="000000"/>
                      <w:sz w:val="22"/>
                      <w:szCs w:val="22"/>
                    </w:rPr>
                  </w:pPr>
                  <w:r w:rsidRPr="001C4EFE">
                    <w:rPr>
                      <w:rFonts w:ascii="Calibri" w:hAnsi="Calibri" w:cs="Calibri"/>
                      <w:color w:val="000000"/>
                      <w:sz w:val="22"/>
                      <w:szCs w:val="22"/>
                    </w:rPr>
                    <w:t>Curcumin</w:t>
                  </w:r>
                </w:p>
              </w:tc>
              <w:tc>
                <w:tcPr>
                  <w:tcW w:w="0" w:type="auto"/>
                  <w:tcBorders>
                    <w:top w:val="nil"/>
                    <w:left w:val="nil"/>
                    <w:bottom w:val="nil"/>
                    <w:right w:val="nil"/>
                  </w:tcBorders>
                  <w:noWrap/>
                  <w:tcMar>
                    <w:top w:w="15" w:type="dxa"/>
                    <w:left w:w="15" w:type="dxa"/>
                    <w:bottom w:w="0" w:type="dxa"/>
                    <w:right w:w="15" w:type="dxa"/>
                  </w:tcMar>
                  <w:vAlign w:val="bottom"/>
                  <w:hideMark/>
                </w:tcPr>
                <w:p w14:paraId="7E197AED"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 xml:space="preserve">969516    </w:t>
                  </w:r>
                </w:p>
              </w:tc>
              <w:tc>
                <w:tcPr>
                  <w:tcW w:w="0" w:type="auto"/>
                  <w:tcBorders>
                    <w:top w:val="nil"/>
                    <w:left w:val="nil"/>
                    <w:bottom w:val="nil"/>
                    <w:right w:val="nil"/>
                  </w:tcBorders>
                </w:tcPr>
                <w:p w14:paraId="328DD361"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05F2FEB1" w14:textId="77777777" w:rsidR="001C4EFE" w:rsidRPr="001C4EFE" w:rsidRDefault="001C4EFE" w:rsidP="00CC19EB">
                  <w:pPr>
                    <w:rPr>
                      <w:rFonts w:ascii="Arial" w:hAnsi="Arial" w:cs="Arial"/>
                      <w:color w:val="000000"/>
                    </w:rPr>
                  </w:pPr>
                  <w:r w:rsidRPr="001C4EFE">
                    <w:rPr>
                      <w:rFonts w:ascii="Arial" w:hAnsi="Arial" w:cs="Arial"/>
                      <w:color w:val="000000"/>
                    </w:rPr>
                    <w:t>368.4 g/mol</w:t>
                  </w:r>
                </w:p>
              </w:tc>
            </w:tr>
            <w:tr w:rsidR="001C4EFE" w:rsidRPr="001C4EFE" w14:paraId="50D12CB9"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5F355B32"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Demethoxycurcumin</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1CF86F2C"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5469424</w:t>
                  </w:r>
                </w:p>
              </w:tc>
              <w:tc>
                <w:tcPr>
                  <w:tcW w:w="0" w:type="auto"/>
                  <w:tcBorders>
                    <w:top w:val="nil"/>
                    <w:left w:val="nil"/>
                    <w:bottom w:val="nil"/>
                    <w:right w:val="nil"/>
                  </w:tcBorders>
                </w:tcPr>
                <w:p w14:paraId="01CDB4F1"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4BA33FBE" w14:textId="77777777" w:rsidR="001C4EFE" w:rsidRPr="001C4EFE" w:rsidRDefault="001C4EFE" w:rsidP="00CC19EB">
                  <w:pPr>
                    <w:rPr>
                      <w:rFonts w:ascii="Arial" w:hAnsi="Arial" w:cs="Arial"/>
                      <w:color w:val="000000"/>
                    </w:rPr>
                  </w:pPr>
                  <w:r w:rsidRPr="001C4EFE">
                    <w:rPr>
                      <w:rFonts w:ascii="Arial" w:hAnsi="Arial" w:cs="Arial"/>
                      <w:color w:val="000000"/>
                    </w:rPr>
                    <w:t>338.4 g/mol</w:t>
                  </w:r>
                </w:p>
              </w:tc>
            </w:tr>
            <w:tr w:rsidR="001C4EFE" w:rsidRPr="001C4EFE" w14:paraId="7DF5824B"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03AD97BE" w14:textId="77777777" w:rsidR="001C4EFE" w:rsidRPr="001C4EFE" w:rsidRDefault="001C4EFE" w:rsidP="00CC19EB">
                  <w:pPr>
                    <w:rPr>
                      <w:rFonts w:ascii="Calibri" w:hAnsi="Calibri" w:cs="Calibri"/>
                      <w:color w:val="000000"/>
                      <w:sz w:val="22"/>
                      <w:szCs w:val="22"/>
                    </w:rPr>
                  </w:pPr>
                  <w:r w:rsidRPr="001C4EFE">
                    <w:rPr>
                      <w:rFonts w:ascii="Calibri" w:hAnsi="Calibri" w:cs="Calibri"/>
                      <w:color w:val="000000"/>
                      <w:sz w:val="22"/>
                      <w:szCs w:val="22"/>
                    </w:rPr>
                    <w:t>Bisdemethoxycurcumin</w:t>
                  </w:r>
                </w:p>
              </w:tc>
              <w:tc>
                <w:tcPr>
                  <w:tcW w:w="0" w:type="auto"/>
                  <w:tcBorders>
                    <w:top w:val="nil"/>
                    <w:left w:val="nil"/>
                    <w:bottom w:val="nil"/>
                    <w:right w:val="nil"/>
                  </w:tcBorders>
                  <w:noWrap/>
                  <w:tcMar>
                    <w:top w:w="15" w:type="dxa"/>
                    <w:left w:w="15" w:type="dxa"/>
                    <w:bottom w:w="0" w:type="dxa"/>
                    <w:right w:w="15" w:type="dxa"/>
                  </w:tcMar>
                  <w:vAlign w:val="bottom"/>
                  <w:hideMark/>
                </w:tcPr>
                <w:p w14:paraId="35A30208"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5315472</w:t>
                  </w:r>
                </w:p>
              </w:tc>
              <w:tc>
                <w:tcPr>
                  <w:tcW w:w="0" w:type="auto"/>
                  <w:tcBorders>
                    <w:top w:val="nil"/>
                    <w:left w:val="nil"/>
                    <w:bottom w:val="nil"/>
                    <w:right w:val="nil"/>
                  </w:tcBorders>
                </w:tcPr>
                <w:p w14:paraId="4991B49D"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75CABE5A" w14:textId="77777777" w:rsidR="001C4EFE" w:rsidRPr="001C4EFE" w:rsidRDefault="001C4EFE" w:rsidP="00CC19EB">
                  <w:pPr>
                    <w:rPr>
                      <w:rFonts w:ascii="Arial" w:hAnsi="Arial" w:cs="Arial"/>
                      <w:color w:val="000000"/>
                    </w:rPr>
                  </w:pPr>
                  <w:r w:rsidRPr="001C4EFE">
                    <w:rPr>
                      <w:rFonts w:ascii="Arial" w:hAnsi="Arial" w:cs="Arial"/>
                      <w:color w:val="000000"/>
                    </w:rPr>
                    <w:t>308.3 g/mol</w:t>
                  </w:r>
                </w:p>
              </w:tc>
            </w:tr>
            <w:tr w:rsidR="001C4EFE" w:rsidRPr="001C4EFE" w14:paraId="6AD61C41"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4E948456"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ar_turmerone</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32A5B248"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160512</w:t>
                  </w:r>
                </w:p>
              </w:tc>
              <w:tc>
                <w:tcPr>
                  <w:tcW w:w="0" w:type="auto"/>
                  <w:tcBorders>
                    <w:top w:val="nil"/>
                    <w:left w:val="nil"/>
                    <w:bottom w:val="nil"/>
                    <w:right w:val="nil"/>
                  </w:tcBorders>
                </w:tcPr>
                <w:p w14:paraId="19B5423C"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59BAB59D" w14:textId="77777777" w:rsidR="001C4EFE" w:rsidRPr="001C4EFE" w:rsidRDefault="001C4EFE" w:rsidP="00CC19EB">
                  <w:pPr>
                    <w:rPr>
                      <w:rFonts w:ascii="Arial" w:hAnsi="Arial" w:cs="Arial"/>
                      <w:color w:val="000000"/>
                    </w:rPr>
                  </w:pPr>
                  <w:r w:rsidRPr="001C4EFE">
                    <w:rPr>
                      <w:rFonts w:ascii="Arial" w:hAnsi="Arial" w:cs="Arial"/>
                      <w:color w:val="000000"/>
                    </w:rPr>
                    <w:t>216.32 g/mol</w:t>
                  </w:r>
                </w:p>
              </w:tc>
            </w:tr>
            <w:tr w:rsidR="001C4EFE" w:rsidRPr="001C4EFE" w14:paraId="3A10879A"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3306C9BF"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Beta_turmerone</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26768007"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196216</w:t>
                  </w:r>
                </w:p>
              </w:tc>
              <w:tc>
                <w:tcPr>
                  <w:tcW w:w="0" w:type="auto"/>
                  <w:tcBorders>
                    <w:top w:val="nil"/>
                    <w:left w:val="nil"/>
                    <w:bottom w:val="nil"/>
                    <w:right w:val="nil"/>
                  </w:tcBorders>
                </w:tcPr>
                <w:p w14:paraId="2B1A45A4"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29EE67CA" w14:textId="77777777" w:rsidR="001C4EFE" w:rsidRPr="001C4EFE" w:rsidRDefault="001C4EFE" w:rsidP="00CC19EB">
                  <w:pPr>
                    <w:rPr>
                      <w:rFonts w:ascii="Arial" w:hAnsi="Arial" w:cs="Arial"/>
                      <w:color w:val="000000"/>
                    </w:rPr>
                  </w:pPr>
                  <w:r w:rsidRPr="001C4EFE">
                    <w:rPr>
                      <w:rFonts w:ascii="Arial" w:hAnsi="Arial" w:cs="Arial"/>
                      <w:color w:val="000000"/>
                    </w:rPr>
                    <w:t>218.33 g/mol</w:t>
                  </w:r>
                </w:p>
              </w:tc>
            </w:tr>
            <w:tr w:rsidR="001C4EFE" w:rsidRPr="001C4EFE" w14:paraId="49F0A20C"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272EE2E8"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alpha_turmerone</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4CC3AE74"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6434375</w:t>
                  </w:r>
                </w:p>
              </w:tc>
              <w:tc>
                <w:tcPr>
                  <w:tcW w:w="0" w:type="auto"/>
                  <w:tcBorders>
                    <w:top w:val="nil"/>
                    <w:left w:val="nil"/>
                    <w:bottom w:val="nil"/>
                    <w:right w:val="nil"/>
                  </w:tcBorders>
                </w:tcPr>
                <w:p w14:paraId="0A087F9F"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0314A452" w14:textId="77777777" w:rsidR="001C4EFE" w:rsidRPr="001C4EFE" w:rsidRDefault="001C4EFE" w:rsidP="00CC19EB">
                  <w:pPr>
                    <w:rPr>
                      <w:rFonts w:ascii="Arial" w:hAnsi="Arial" w:cs="Arial"/>
                      <w:color w:val="000000"/>
                    </w:rPr>
                  </w:pPr>
                  <w:r w:rsidRPr="001C4EFE">
                    <w:rPr>
                      <w:rFonts w:ascii="Arial" w:hAnsi="Arial" w:cs="Arial"/>
                      <w:color w:val="000000"/>
                    </w:rPr>
                    <w:t>273.37 g/mol</w:t>
                  </w:r>
                </w:p>
              </w:tc>
            </w:tr>
            <w:tr w:rsidR="001C4EFE" w:rsidRPr="001C4EFE" w14:paraId="49F71A40"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2F859269"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Germacrone</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324E8DC7"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6436348</w:t>
                  </w:r>
                </w:p>
              </w:tc>
              <w:tc>
                <w:tcPr>
                  <w:tcW w:w="0" w:type="auto"/>
                  <w:tcBorders>
                    <w:top w:val="nil"/>
                    <w:left w:val="nil"/>
                    <w:bottom w:val="nil"/>
                    <w:right w:val="nil"/>
                  </w:tcBorders>
                </w:tcPr>
                <w:p w14:paraId="0AA1D7A6"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7DDAB24C" w14:textId="77777777" w:rsidR="001C4EFE" w:rsidRPr="001C4EFE" w:rsidRDefault="001C4EFE" w:rsidP="00CC19EB">
                  <w:pPr>
                    <w:rPr>
                      <w:rFonts w:ascii="Arial" w:hAnsi="Arial" w:cs="Arial"/>
                      <w:color w:val="000000"/>
                    </w:rPr>
                  </w:pPr>
                  <w:r w:rsidRPr="001C4EFE">
                    <w:rPr>
                      <w:rFonts w:ascii="Arial" w:hAnsi="Arial" w:cs="Arial"/>
                      <w:color w:val="000000"/>
                    </w:rPr>
                    <w:t>218.33 g/mol</w:t>
                  </w:r>
                </w:p>
              </w:tc>
            </w:tr>
            <w:tr w:rsidR="001C4EFE" w:rsidRPr="001C4EFE" w14:paraId="7188B88D"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27B6E0D8"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curdione</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2DDC7EE9"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14106072</w:t>
                  </w:r>
                </w:p>
              </w:tc>
              <w:tc>
                <w:tcPr>
                  <w:tcW w:w="0" w:type="auto"/>
                  <w:tcBorders>
                    <w:top w:val="nil"/>
                    <w:left w:val="nil"/>
                    <w:bottom w:val="nil"/>
                    <w:right w:val="nil"/>
                  </w:tcBorders>
                </w:tcPr>
                <w:p w14:paraId="7EFD6C36"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5B2D3CF7" w14:textId="77777777" w:rsidR="001C4EFE" w:rsidRPr="001C4EFE" w:rsidRDefault="001C4EFE" w:rsidP="00CC19EB">
                  <w:pPr>
                    <w:rPr>
                      <w:rFonts w:ascii="Arial" w:hAnsi="Arial" w:cs="Arial"/>
                      <w:color w:val="000000"/>
                    </w:rPr>
                  </w:pPr>
                  <w:r w:rsidRPr="001C4EFE">
                    <w:rPr>
                      <w:rFonts w:ascii="Arial" w:hAnsi="Arial" w:cs="Arial"/>
                      <w:color w:val="000000"/>
                    </w:rPr>
                    <w:t>236.35 g/mol</w:t>
                  </w:r>
                </w:p>
              </w:tc>
            </w:tr>
            <w:tr w:rsidR="001C4EFE" w:rsidRPr="001C4EFE" w14:paraId="3F210EDD" w14:textId="77777777" w:rsidTr="00CC19EB">
              <w:trPr>
                <w:trHeight w:val="315"/>
              </w:trPr>
              <w:tc>
                <w:tcPr>
                  <w:tcW w:w="2260" w:type="dxa"/>
                  <w:tcBorders>
                    <w:top w:val="nil"/>
                    <w:left w:val="nil"/>
                    <w:bottom w:val="nil"/>
                    <w:right w:val="nil"/>
                  </w:tcBorders>
                  <w:tcMar>
                    <w:top w:w="15" w:type="dxa"/>
                    <w:left w:w="15" w:type="dxa"/>
                    <w:bottom w:w="0" w:type="dxa"/>
                    <w:right w:w="15" w:type="dxa"/>
                  </w:tcMar>
                  <w:vAlign w:val="center"/>
                  <w:hideMark/>
                </w:tcPr>
                <w:p w14:paraId="251CFDD9" w14:textId="77777777" w:rsidR="001C4EFE" w:rsidRPr="001C4EFE" w:rsidRDefault="001C4EFE" w:rsidP="00CC19EB">
                  <w:pPr>
                    <w:rPr>
                      <w:rFonts w:ascii="Calibri" w:hAnsi="Calibri" w:cs="Calibri"/>
                      <w:color w:val="000000"/>
                      <w:sz w:val="22"/>
                      <w:szCs w:val="22"/>
                    </w:rPr>
                  </w:pPr>
                  <w:proofErr w:type="spellStart"/>
                  <w:r w:rsidRPr="001C4EFE">
                    <w:rPr>
                      <w:rFonts w:ascii="Calibri" w:hAnsi="Calibri" w:cs="Calibri"/>
                      <w:color w:val="000000"/>
                      <w:sz w:val="22"/>
                      <w:szCs w:val="22"/>
                    </w:rPr>
                    <w:t>Cyclocurcumin</w:t>
                  </w:r>
                  <w:proofErr w:type="spellEnd"/>
                </w:p>
              </w:tc>
              <w:tc>
                <w:tcPr>
                  <w:tcW w:w="0" w:type="auto"/>
                  <w:tcBorders>
                    <w:top w:val="nil"/>
                    <w:left w:val="nil"/>
                    <w:bottom w:val="nil"/>
                    <w:right w:val="nil"/>
                  </w:tcBorders>
                  <w:noWrap/>
                  <w:tcMar>
                    <w:top w:w="15" w:type="dxa"/>
                    <w:left w:w="15" w:type="dxa"/>
                    <w:bottom w:w="0" w:type="dxa"/>
                    <w:right w:w="15" w:type="dxa"/>
                  </w:tcMar>
                  <w:vAlign w:val="bottom"/>
                  <w:hideMark/>
                </w:tcPr>
                <w:p w14:paraId="644334CA"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5318992</w:t>
                  </w:r>
                </w:p>
              </w:tc>
              <w:tc>
                <w:tcPr>
                  <w:tcW w:w="0" w:type="auto"/>
                  <w:tcBorders>
                    <w:top w:val="nil"/>
                    <w:left w:val="nil"/>
                    <w:bottom w:val="nil"/>
                    <w:right w:val="nil"/>
                  </w:tcBorders>
                </w:tcPr>
                <w:p w14:paraId="014D03C0"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0295927A" w14:textId="77777777" w:rsidR="001C4EFE" w:rsidRPr="001C4EFE" w:rsidRDefault="001C4EFE" w:rsidP="00CC19EB">
                  <w:pPr>
                    <w:rPr>
                      <w:rFonts w:ascii="Arial" w:hAnsi="Arial" w:cs="Arial"/>
                      <w:color w:val="000000"/>
                    </w:rPr>
                  </w:pPr>
                  <w:r w:rsidRPr="001C4EFE">
                    <w:rPr>
                      <w:rFonts w:ascii="Arial" w:hAnsi="Arial" w:cs="Arial"/>
                      <w:color w:val="000000"/>
                    </w:rPr>
                    <w:t>728.8 g/mol</w:t>
                  </w:r>
                </w:p>
              </w:tc>
            </w:tr>
            <w:tr w:rsidR="001C4EFE" w:rsidRPr="001C4EFE" w14:paraId="3907496D" w14:textId="77777777" w:rsidTr="00CC19EB">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724410A1" w14:textId="77777777" w:rsidR="001C4EFE" w:rsidRPr="001C4EFE" w:rsidRDefault="001C4EFE" w:rsidP="00CC19EB">
                  <w:pPr>
                    <w:rPr>
                      <w:rFonts w:ascii="Calibri" w:hAnsi="Calibri" w:cs="Calibri"/>
                      <w:color w:val="000000"/>
                      <w:sz w:val="22"/>
                      <w:szCs w:val="22"/>
                    </w:rPr>
                  </w:pPr>
                  <w:r w:rsidRPr="001C4EFE">
                    <w:rPr>
                      <w:rFonts w:ascii="Calibri" w:hAnsi="Calibri" w:cs="Calibri"/>
                      <w:color w:val="000000"/>
                      <w:sz w:val="22"/>
                      <w:szCs w:val="22"/>
                    </w:rPr>
                    <w:t>calebin A</w:t>
                  </w:r>
                </w:p>
              </w:tc>
              <w:tc>
                <w:tcPr>
                  <w:tcW w:w="0" w:type="auto"/>
                  <w:tcBorders>
                    <w:top w:val="nil"/>
                    <w:left w:val="nil"/>
                    <w:bottom w:val="nil"/>
                    <w:right w:val="nil"/>
                  </w:tcBorders>
                  <w:noWrap/>
                  <w:tcMar>
                    <w:top w:w="15" w:type="dxa"/>
                    <w:left w:w="15" w:type="dxa"/>
                    <w:bottom w:w="0" w:type="dxa"/>
                    <w:right w:w="15" w:type="dxa"/>
                  </w:tcMar>
                  <w:vAlign w:val="bottom"/>
                  <w:hideMark/>
                </w:tcPr>
                <w:p w14:paraId="383EE800" w14:textId="77777777" w:rsidR="001C4EFE" w:rsidRPr="001C4EFE" w:rsidRDefault="001C4EFE" w:rsidP="00CC19EB">
                  <w:pPr>
                    <w:jc w:val="right"/>
                    <w:rPr>
                      <w:rFonts w:ascii="Calibri" w:hAnsi="Calibri" w:cs="Calibri"/>
                      <w:color w:val="000000"/>
                      <w:sz w:val="22"/>
                      <w:szCs w:val="22"/>
                    </w:rPr>
                  </w:pPr>
                  <w:r w:rsidRPr="001C4EFE">
                    <w:rPr>
                      <w:rFonts w:ascii="Calibri" w:hAnsi="Calibri" w:cs="Calibri"/>
                      <w:color w:val="000000"/>
                      <w:sz w:val="22"/>
                      <w:szCs w:val="22"/>
                    </w:rPr>
                    <w:t>637429</w:t>
                  </w:r>
                </w:p>
              </w:tc>
              <w:tc>
                <w:tcPr>
                  <w:tcW w:w="0" w:type="auto"/>
                  <w:tcBorders>
                    <w:top w:val="nil"/>
                    <w:left w:val="nil"/>
                    <w:bottom w:val="nil"/>
                    <w:right w:val="nil"/>
                  </w:tcBorders>
                </w:tcPr>
                <w:p w14:paraId="6057170C" w14:textId="77777777" w:rsidR="001C4EFE" w:rsidRPr="001C4EFE" w:rsidRDefault="001C4EFE" w:rsidP="00CC19EB">
                  <w:pPr>
                    <w:rPr>
                      <w:rFonts w:ascii="Arial" w:hAnsi="Arial" w:cs="Arial"/>
                      <w:color w:val="000000"/>
                    </w:rPr>
                  </w:pPr>
                </w:p>
              </w:tc>
              <w:tc>
                <w:tcPr>
                  <w:tcW w:w="0" w:type="auto"/>
                  <w:tcBorders>
                    <w:top w:val="nil"/>
                    <w:left w:val="nil"/>
                    <w:bottom w:val="nil"/>
                    <w:right w:val="nil"/>
                  </w:tcBorders>
                  <w:noWrap/>
                  <w:tcMar>
                    <w:top w:w="15" w:type="dxa"/>
                    <w:left w:w="15" w:type="dxa"/>
                    <w:bottom w:w="0" w:type="dxa"/>
                    <w:right w:w="15" w:type="dxa"/>
                  </w:tcMar>
                  <w:vAlign w:val="bottom"/>
                  <w:hideMark/>
                </w:tcPr>
                <w:p w14:paraId="081C1967" w14:textId="77777777" w:rsidR="001C4EFE" w:rsidRPr="001C4EFE" w:rsidRDefault="001C4EFE" w:rsidP="00CC19EB">
                  <w:pPr>
                    <w:rPr>
                      <w:rFonts w:ascii="Arial" w:hAnsi="Arial" w:cs="Arial"/>
                      <w:color w:val="000000"/>
                    </w:rPr>
                  </w:pPr>
                  <w:r w:rsidRPr="001C4EFE">
                    <w:rPr>
                      <w:rFonts w:ascii="Arial" w:hAnsi="Arial" w:cs="Arial"/>
                      <w:color w:val="000000"/>
                    </w:rPr>
                    <w:t>384.4 g/mol</w:t>
                  </w:r>
                </w:p>
              </w:tc>
            </w:tr>
          </w:tbl>
          <w:p w14:paraId="6798BF99" w14:textId="77777777" w:rsidR="001C4EFE" w:rsidRDefault="001C4EFE" w:rsidP="00CC19EB"/>
        </w:tc>
      </w:tr>
    </w:tbl>
    <w:p w14:paraId="6B617B87" w14:textId="425D7C2F" w:rsidR="00D21CEE" w:rsidRPr="001C4EFE" w:rsidRDefault="00D21CEE">
      <w:pPr>
        <w:rPr>
          <w:b/>
          <w:bCs/>
          <w:sz w:val="36"/>
        </w:rPr>
      </w:pPr>
    </w:p>
    <w:p w14:paraId="6E4D5C86" w14:textId="77777777" w:rsidR="001C4EFE" w:rsidRPr="006844AE" w:rsidRDefault="001C4EFE" w:rsidP="001C4EFE">
      <w:pPr>
        <w:rPr>
          <w:b/>
          <w:sz w:val="48"/>
        </w:rPr>
      </w:pPr>
      <w:r w:rsidRPr="006844AE">
        <w:rPr>
          <w:b/>
          <w:sz w:val="48"/>
        </w:rPr>
        <w:t>Selection criteria:</w:t>
      </w:r>
    </w:p>
    <w:p w14:paraId="19BBA194" w14:textId="6CB36C3F" w:rsidR="001C4EFE" w:rsidRDefault="001C4EFE" w:rsidP="001C4EFE">
      <w:pPr>
        <w:rPr>
          <w:sz w:val="36"/>
        </w:rPr>
      </w:pPr>
      <w:r w:rsidRPr="006844AE">
        <w:rPr>
          <w:sz w:val="36"/>
        </w:rPr>
        <w:t xml:space="preserve">A total of ten phytochemicals reported from </w:t>
      </w:r>
      <w:r w:rsidRPr="006844AE">
        <w:rPr>
          <w:i/>
          <w:iCs/>
          <w:sz w:val="36"/>
        </w:rPr>
        <w:t>Curcuma longa</w:t>
      </w:r>
      <w:r w:rsidRPr="006844AE">
        <w:rPr>
          <w:sz w:val="36"/>
        </w:rPr>
        <w:t xml:space="preserve"> were initially considered as potential ligands. All compounds were subjected to </w:t>
      </w:r>
      <w:r w:rsidRPr="006844AE">
        <w:rPr>
          <w:b/>
          <w:bCs/>
          <w:sz w:val="36"/>
        </w:rPr>
        <w:t xml:space="preserve">ADME profiling using </w:t>
      </w:r>
      <w:proofErr w:type="spellStart"/>
      <w:r w:rsidRPr="006844AE">
        <w:rPr>
          <w:b/>
          <w:bCs/>
          <w:sz w:val="36"/>
        </w:rPr>
        <w:t>SwissADME</w:t>
      </w:r>
      <w:proofErr w:type="spellEnd"/>
      <w:r w:rsidRPr="006844AE">
        <w:rPr>
          <w:sz w:val="36"/>
        </w:rPr>
        <w:t xml:space="preserve"> and </w:t>
      </w:r>
      <w:r w:rsidRPr="006844AE">
        <w:rPr>
          <w:b/>
          <w:bCs/>
          <w:sz w:val="36"/>
        </w:rPr>
        <w:t>toxicity prediction using ProTox-3</w:t>
      </w:r>
      <w:r w:rsidRPr="006844AE">
        <w:rPr>
          <w:sz w:val="36"/>
        </w:rPr>
        <w:t xml:space="preserve"> to evaluate their </w:t>
      </w:r>
      <w:r w:rsidRPr="006844AE">
        <w:rPr>
          <w:sz w:val="36"/>
        </w:rPr>
        <w:lastRenderedPageBreak/>
        <w:t xml:space="preserve">pharmacokinetic properties, drug-likeness, and safety profiles. Based on these analyses, </w:t>
      </w:r>
      <w:r w:rsidRPr="006844AE">
        <w:rPr>
          <w:b/>
          <w:bCs/>
          <w:sz w:val="36"/>
        </w:rPr>
        <w:t xml:space="preserve">Curcumin, </w:t>
      </w:r>
      <w:proofErr w:type="spellStart"/>
      <w:r w:rsidRPr="006844AE">
        <w:rPr>
          <w:b/>
          <w:bCs/>
          <w:sz w:val="36"/>
        </w:rPr>
        <w:t>Demethoxycurcumin</w:t>
      </w:r>
      <w:proofErr w:type="spellEnd"/>
      <w:r w:rsidRPr="006844AE">
        <w:rPr>
          <w:b/>
          <w:bCs/>
          <w:sz w:val="36"/>
        </w:rPr>
        <w:t>, and Bisdemethoxycurcumin</w:t>
      </w:r>
      <w:r w:rsidRPr="006844AE">
        <w:rPr>
          <w:sz w:val="36"/>
        </w:rPr>
        <w:t xml:space="preserve"> were selected for molecular docking because they exhibited the most favorable overall characteristics, including compliance with Lipinski's Rule of Five, high gastrointestinal absorption, acceptable bioavailability, satisfactory water solubility, absence of significant PAINS and</w:t>
      </w:r>
      <w:r>
        <w:rPr>
          <w:sz w:val="36"/>
        </w:rPr>
        <w:t xml:space="preserve"> </w:t>
      </w:r>
      <w:proofErr w:type="spellStart"/>
      <w:r>
        <w:rPr>
          <w:sz w:val="36"/>
        </w:rPr>
        <w:t>b</w:t>
      </w:r>
      <w:r w:rsidRPr="006844AE">
        <w:rPr>
          <w:sz w:val="36"/>
        </w:rPr>
        <w:t>renk</w:t>
      </w:r>
      <w:proofErr w:type="spellEnd"/>
      <w:r w:rsidRPr="006844AE">
        <w:rPr>
          <w:sz w:val="36"/>
        </w:rPr>
        <w:t xml:space="preserve"> alerts, favorable synthetic accessibility, and comparatively lower predicted toxicity. Furthermore, these three compounds are the principal curcuminoids responsible for the majority of the biological and anticancer activities of </w:t>
      </w:r>
      <w:r w:rsidRPr="006844AE">
        <w:rPr>
          <w:i/>
          <w:iCs/>
          <w:sz w:val="36"/>
        </w:rPr>
        <w:t>Curcuma longa</w:t>
      </w:r>
      <w:r w:rsidRPr="006844AE">
        <w:rPr>
          <w:sz w:val="36"/>
        </w:rPr>
        <w:t>, with extensive experimental evidence supporting their therapeutic potential against hepatocellular carcinoma and other cancers. Therefore, they were considered the most promising candidates for docking against the selected target protein (PIK3CA), while the remaining phytochemicals were excluded due to comparatively less favorable pharmacokinetic properties, higher predicted toxicity, or limited evidence supporting their anticancer activity.</w:t>
      </w:r>
    </w:p>
    <w:p w14:paraId="7B0C162C" w14:textId="77777777" w:rsidR="001C4EFE" w:rsidRDefault="001C4EFE" w:rsidP="001C4EFE">
      <w:pPr>
        <w:rPr>
          <w:sz w:val="36"/>
        </w:rPr>
      </w:pPr>
    </w:p>
    <w:p w14:paraId="2AB2D93E" w14:textId="77777777" w:rsidR="00F40D5E" w:rsidRDefault="00F40D5E">
      <w:pPr>
        <w:rPr>
          <w:sz w:val="36"/>
        </w:rPr>
      </w:pPr>
      <w:r>
        <w:rPr>
          <w:sz w:val="36"/>
        </w:rPr>
        <w:br w:type="page"/>
      </w:r>
    </w:p>
    <w:p w14:paraId="596684BF" w14:textId="741D49F0" w:rsidR="00863ADE" w:rsidRPr="009B236B" w:rsidRDefault="00863ADE" w:rsidP="001C4EFE">
      <w:pPr>
        <w:tabs>
          <w:tab w:val="left" w:pos="3774"/>
        </w:tabs>
        <w:rPr>
          <w:b/>
          <w:bCs/>
          <w:sz w:val="36"/>
        </w:rPr>
      </w:pPr>
      <w:r w:rsidRPr="009B236B">
        <w:rPr>
          <w:b/>
          <w:bCs/>
          <w:sz w:val="36"/>
        </w:rPr>
        <w:lastRenderedPageBreak/>
        <w:t>SWISS results</w:t>
      </w:r>
      <w:r w:rsidR="008421CD" w:rsidRPr="009B236B">
        <w:rPr>
          <w:b/>
          <w:bCs/>
          <w:sz w:val="36"/>
        </w:rPr>
        <w:t>:</w:t>
      </w:r>
    </w:p>
    <w:p w14:paraId="4CFF7205" w14:textId="13B5F3B7" w:rsidR="00863ADE" w:rsidRPr="009B236B" w:rsidRDefault="00863ADE" w:rsidP="00863ADE">
      <w:pPr>
        <w:rPr>
          <w:sz w:val="36"/>
        </w:rPr>
      </w:pPr>
      <w:r w:rsidRPr="009B236B">
        <w:rPr>
          <w:sz w:val="36"/>
        </w:rPr>
        <w:t>For each compound, examine:</w:t>
      </w:r>
    </w:p>
    <w:p w14:paraId="2E05D57F" w14:textId="7B42613B" w:rsidR="008421CD" w:rsidRDefault="00863ADE" w:rsidP="00623595">
      <w:pPr>
        <w:numPr>
          <w:ilvl w:val="0"/>
          <w:numId w:val="9"/>
        </w:numPr>
        <w:rPr>
          <w:sz w:val="36"/>
        </w:rPr>
      </w:pPr>
      <w:r w:rsidRPr="009B236B">
        <w:rPr>
          <w:sz w:val="36"/>
        </w:rPr>
        <w:t>Lipinski's Rule of Five</w:t>
      </w:r>
      <w:r w:rsidR="00623595" w:rsidRPr="009B236B">
        <w:rPr>
          <w:sz w:val="36"/>
        </w:rPr>
        <w:t xml:space="preserve">, </w:t>
      </w:r>
      <w:r w:rsidRPr="009B236B">
        <w:rPr>
          <w:sz w:val="36"/>
        </w:rPr>
        <w:t>GI absorption</w:t>
      </w:r>
      <w:r w:rsidR="00623595" w:rsidRPr="009B236B">
        <w:rPr>
          <w:sz w:val="36"/>
        </w:rPr>
        <w:t xml:space="preserve">, </w:t>
      </w:r>
      <w:r w:rsidRPr="009B236B">
        <w:rPr>
          <w:sz w:val="36"/>
        </w:rPr>
        <w:t>Bioavailability score</w:t>
      </w:r>
      <w:r w:rsidR="00623595" w:rsidRPr="009B236B">
        <w:rPr>
          <w:sz w:val="36"/>
        </w:rPr>
        <w:t xml:space="preserve">, </w:t>
      </w:r>
      <w:r w:rsidRPr="009B236B">
        <w:rPr>
          <w:sz w:val="36"/>
        </w:rPr>
        <w:t>Water solubility</w:t>
      </w:r>
      <w:r w:rsidR="00623595" w:rsidRPr="009B236B">
        <w:rPr>
          <w:sz w:val="36"/>
        </w:rPr>
        <w:t xml:space="preserve">, </w:t>
      </w:r>
      <w:r w:rsidRPr="009B236B">
        <w:rPr>
          <w:sz w:val="36"/>
        </w:rPr>
        <w:t>Drug-likeness</w:t>
      </w:r>
      <w:r w:rsidR="00623595" w:rsidRPr="009B236B">
        <w:rPr>
          <w:sz w:val="36"/>
        </w:rPr>
        <w:t xml:space="preserve">, </w:t>
      </w:r>
      <w:r w:rsidRPr="009B236B">
        <w:rPr>
          <w:sz w:val="36"/>
        </w:rPr>
        <w:t>PAINS alerts</w:t>
      </w:r>
      <w:r w:rsidR="00623595" w:rsidRPr="009B236B">
        <w:rPr>
          <w:sz w:val="36"/>
        </w:rPr>
        <w:t xml:space="preserve">, </w:t>
      </w:r>
      <w:r w:rsidRPr="009B236B">
        <w:rPr>
          <w:sz w:val="36"/>
        </w:rPr>
        <w:t>Brenk alerts</w:t>
      </w:r>
      <w:r w:rsidR="00623595" w:rsidRPr="009B236B">
        <w:rPr>
          <w:sz w:val="36"/>
        </w:rPr>
        <w:t xml:space="preserve">, </w:t>
      </w:r>
      <w:r w:rsidRPr="009B236B">
        <w:rPr>
          <w:sz w:val="36"/>
        </w:rPr>
        <w:t>Synthetic accessibility</w:t>
      </w:r>
      <w:r w:rsidR="00623595" w:rsidRPr="009B236B">
        <w:rPr>
          <w:sz w:val="36"/>
        </w:rPr>
        <w:t xml:space="preserve">, </w:t>
      </w:r>
      <w:r w:rsidRPr="009B236B">
        <w:rPr>
          <w:sz w:val="36"/>
        </w:rPr>
        <w:t>BOILED-Egg model</w:t>
      </w:r>
    </w:p>
    <w:p w14:paraId="5897A268" w14:textId="4929D0C8" w:rsidR="000D2C5E" w:rsidRDefault="000D2C5E" w:rsidP="000D2C5E">
      <w:pPr>
        <w:rPr>
          <w:sz w:val="36"/>
        </w:rPr>
      </w:pPr>
      <w:r w:rsidRPr="000D2C5E">
        <w:rPr>
          <w:b/>
          <w:bCs/>
          <w:sz w:val="36"/>
        </w:rPr>
        <w:t>Toxicity results</w:t>
      </w:r>
      <w:r>
        <w:rPr>
          <w:sz w:val="36"/>
        </w:rPr>
        <w:t>:</w:t>
      </w:r>
    </w:p>
    <w:p w14:paraId="7C1E1A0E" w14:textId="77777777" w:rsidR="000D2C5E" w:rsidRPr="009B236B" w:rsidRDefault="000D2C5E" w:rsidP="000D2C5E">
      <w:pPr>
        <w:rPr>
          <w:sz w:val="36"/>
        </w:rPr>
      </w:pPr>
      <w:r w:rsidRPr="009B236B">
        <w:rPr>
          <w:sz w:val="36"/>
        </w:rPr>
        <w:t xml:space="preserve">We will evaluate each selected phytochemical using tools such as </w:t>
      </w:r>
      <w:r w:rsidRPr="009B236B">
        <w:rPr>
          <w:b/>
          <w:bCs/>
          <w:sz w:val="36"/>
        </w:rPr>
        <w:t>Protox-3</w:t>
      </w:r>
      <w:r w:rsidRPr="009B236B">
        <w:rPr>
          <w:sz w:val="36"/>
        </w:rPr>
        <w:t xml:space="preserve"> (or an equivalent toxicity prediction server) to assess:</w:t>
      </w:r>
    </w:p>
    <w:p w14:paraId="29DA9122" w14:textId="77777777" w:rsidR="000D2C5E" w:rsidRPr="009B236B" w:rsidRDefault="000D2C5E" w:rsidP="000D2C5E">
      <w:pPr>
        <w:numPr>
          <w:ilvl w:val="0"/>
          <w:numId w:val="10"/>
        </w:numPr>
        <w:rPr>
          <w:sz w:val="36"/>
        </w:rPr>
      </w:pPr>
      <w:r w:rsidRPr="009B236B">
        <w:rPr>
          <w:sz w:val="36"/>
        </w:rPr>
        <w:t xml:space="preserve">LD₅₀ (acute oral toxicity, Toxicity class, Hepatotoxicity, Carcinogenicity </w:t>
      </w:r>
    </w:p>
    <w:p w14:paraId="58662F78" w14:textId="19A1E533" w:rsidR="000D2C5E" w:rsidRPr="006844AE" w:rsidRDefault="000D2C5E" w:rsidP="000D2C5E">
      <w:pPr>
        <w:numPr>
          <w:ilvl w:val="0"/>
          <w:numId w:val="10"/>
        </w:numPr>
        <w:rPr>
          <w:sz w:val="36"/>
        </w:rPr>
      </w:pPr>
      <w:r w:rsidRPr="009B236B">
        <w:rPr>
          <w:sz w:val="36"/>
        </w:rPr>
        <w:t>Mutagenicity, Immunotoxicity, Cytotoxicity</w:t>
      </w:r>
    </w:p>
    <w:p w14:paraId="65BE326E" w14:textId="6A777B2C" w:rsidR="008421CD" w:rsidRPr="005046C9" w:rsidRDefault="008421CD" w:rsidP="008421CD">
      <w:pPr>
        <w:rPr>
          <w:b/>
          <w:bCs/>
          <w:sz w:val="48"/>
        </w:rPr>
      </w:pPr>
      <w:r w:rsidRPr="005046C9">
        <w:rPr>
          <w:b/>
          <w:bCs/>
          <w:sz w:val="48"/>
        </w:rPr>
        <w:t xml:space="preserve">SWISS ADME Scientific Interpretation </w:t>
      </w:r>
      <w:r w:rsidR="00C011D1">
        <w:rPr>
          <w:b/>
          <w:bCs/>
          <w:sz w:val="48"/>
        </w:rPr>
        <w:t>and</w:t>
      </w:r>
      <w:r w:rsidR="007978F4">
        <w:rPr>
          <w:b/>
          <w:bCs/>
          <w:sz w:val="48"/>
        </w:rPr>
        <w:t xml:space="preserve"> toxicity</w:t>
      </w:r>
      <w:r w:rsidR="00C011D1">
        <w:rPr>
          <w:b/>
          <w:bCs/>
          <w:sz w:val="48"/>
        </w:rPr>
        <w:t xml:space="preserve"> analysis of </w:t>
      </w:r>
      <w:r w:rsidRPr="005046C9">
        <w:rPr>
          <w:b/>
          <w:bCs/>
          <w:sz w:val="48"/>
        </w:rPr>
        <w:t>ligands:</w:t>
      </w:r>
    </w:p>
    <w:p w14:paraId="4CA18B30" w14:textId="64FB7933" w:rsidR="008421CD" w:rsidRPr="007978F4" w:rsidRDefault="007978F4" w:rsidP="008421CD">
      <w:pPr>
        <w:rPr>
          <w:b/>
          <w:bCs/>
          <w:sz w:val="40"/>
          <w:szCs w:val="28"/>
        </w:rPr>
      </w:pPr>
      <w:r w:rsidRPr="007978F4">
        <w:rPr>
          <w:b/>
          <w:bCs/>
          <w:sz w:val="40"/>
          <w:szCs w:val="28"/>
        </w:rPr>
        <w:t>The ADME ANALYSIS</w:t>
      </w:r>
      <w:r w:rsidRPr="007978F4">
        <w:rPr>
          <w:b/>
          <w:bCs/>
          <w:sz w:val="44"/>
          <w:szCs w:val="32"/>
        </w:rPr>
        <w:t xml:space="preserve"> </w:t>
      </w:r>
      <w:r w:rsidR="008421CD" w:rsidRPr="007978F4">
        <w:rPr>
          <w:b/>
          <w:bCs/>
          <w:sz w:val="40"/>
          <w:szCs w:val="28"/>
        </w:rPr>
        <w:t>Curcumin</w:t>
      </w:r>
      <w:r>
        <w:rPr>
          <w:b/>
          <w:bCs/>
          <w:sz w:val="40"/>
          <w:szCs w:val="28"/>
        </w:rPr>
        <w:t>:</w:t>
      </w:r>
    </w:p>
    <w:p w14:paraId="2A742940" w14:textId="17076A4A" w:rsidR="00C011D1" w:rsidRDefault="008421CD" w:rsidP="00C011D1">
      <w:pPr>
        <w:numPr>
          <w:ilvl w:val="0"/>
          <w:numId w:val="11"/>
        </w:numPr>
        <w:rPr>
          <w:sz w:val="36"/>
        </w:rPr>
      </w:pPr>
      <w:r w:rsidRPr="009B236B">
        <w:rPr>
          <w:sz w:val="36"/>
        </w:rPr>
        <w:t>Passed Lipinski's Rule of Five</w:t>
      </w:r>
      <w:r w:rsidR="005046C9">
        <w:rPr>
          <w:sz w:val="36"/>
        </w:rPr>
        <w:t xml:space="preserve">, </w:t>
      </w:r>
      <w:r w:rsidRPr="005046C9">
        <w:rPr>
          <w:sz w:val="36"/>
        </w:rPr>
        <w:t>High gastrointestinal absorption.</w:t>
      </w:r>
      <w:r w:rsidR="005046C9">
        <w:rPr>
          <w:sz w:val="36"/>
        </w:rPr>
        <w:t xml:space="preserve">, </w:t>
      </w:r>
      <w:r w:rsidRPr="005046C9">
        <w:rPr>
          <w:sz w:val="36"/>
        </w:rPr>
        <w:t>Acceptable bioavailability (0.55</w:t>
      </w:r>
      <w:proofErr w:type="gramStart"/>
      <w:r w:rsidRPr="005046C9">
        <w:rPr>
          <w:sz w:val="36"/>
        </w:rPr>
        <w:t>)</w:t>
      </w:r>
      <w:r w:rsidR="005046C9">
        <w:rPr>
          <w:sz w:val="36"/>
        </w:rPr>
        <w:t>,</w:t>
      </w:r>
      <w:r w:rsidRPr="005046C9">
        <w:rPr>
          <w:sz w:val="36"/>
        </w:rPr>
        <w:t>No</w:t>
      </w:r>
      <w:proofErr w:type="gramEnd"/>
      <w:r w:rsidRPr="005046C9">
        <w:rPr>
          <w:sz w:val="36"/>
        </w:rPr>
        <w:t xml:space="preserve"> PAINS alerts</w:t>
      </w:r>
      <w:r w:rsidR="005046C9">
        <w:rPr>
          <w:sz w:val="36"/>
        </w:rPr>
        <w:t xml:space="preserve">, </w:t>
      </w:r>
      <w:r w:rsidRPr="005046C9">
        <w:rPr>
          <w:sz w:val="36"/>
        </w:rPr>
        <w:t xml:space="preserve">Suitable for molecular docking. </w:t>
      </w:r>
    </w:p>
    <w:p w14:paraId="21D4744F" w14:textId="6E7EB1B2" w:rsidR="000D2C5E" w:rsidRPr="000D2C5E" w:rsidRDefault="000D2C5E" w:rsidP="000D2C5E">
      <w:pPr>
        <w:rPr>
          <w:sz w:val="36"/>
        </w:rPr>
      </w:pPr>
      <w:r>
        <w:rPr>
          <w:noProof/>
          <w:sz w:val="36"/>
        </w:rPr>
        <w:lastRenderedPageBreak/>
        <w:drawing>
          <wp:inline distT="0" distB="0" distL="0" distR="0" wp14:anchorId="0D73DFF2" wp14:editId="5C87B944">
            <wp:extent cx="5943600" cy="4567555"/>
            <wp:effectExtent l="0" t="0" r="0" b="4445"/>
            <wp:docPr id="189686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5811" name="Picture 1896865811"/>
                    <pic:cNvPicPr/>
                  </pic:nvPicPr>
                  <pic:blipFill>
                    <a:blip r:embed="rId22">
                      <a:extLst>
                        <a:ext uri="{28A0092B-C50C-407E-A947-70E740481C1C}">
                          <a14:useLocalDpi xmlns:a14="http://schemas.microsoft.com/office/drawing/2010/main" val="0"/>
                        </a:ext>
                      </a:extLst>
                    </a:blip>
                    <a:stretch>
                      <a:fillRect/>
                    </a:stretch>
                  </pic:blipFill>
                  <pic:spPr>
                    <a:xfrm>
                      <a:off x="0" y="0"/>
                      <a:ext cx="5943600" cy="4567555"/>
                    </a:xfrm>
                    <a:prstGeom prst="rect">
                      <a:avLst/>
                    </a:prstGeom>
                  </pic:spPr>
                </pic:pic>
              </a:graphicData>
            </a:graphic>
          </wp:inline>
        </w:drawing>
      </w:r>
    </w:p>
    <w:p w14:paraId="2F7B6B75" w14:textId="57DF7D6A" w:rsidR="007E67DF" w:rsidRDefault="007978F4" w:rsidP="007978F4">
      <w:pPr>
        <w:rPr>
          <w:b/>
          <w:bCs/>
          <w:sz w:val="40"/>
        </w:rPr>
      </w:pPr>
      <w:r w:rsidRPr="007978F4">
        <w:rPr>
          <w:b/>
          <w:bCs/>
          <w:sz w:val="40"/>
        </w:rPr>
        <w:t>Toxicity analysis:</w:t>
      </w:r>
    </w:p>
    <w:p w14:paraId="4D0F6FE7" w14:textId="6F7E0843" w:rsidR="008421CD" w:rsidRPr="005046C9" w:rsidRDefault="007978F4" w:rsidP="008421CD">
      <w:pPr>
        <w:rPr>
          <w:b/>
          <w:bCs/>
          <w:sz w:val="40"/>
        </w:rPr>
      </w:pPr>
      <w:r>
        <w:rPr>
          <w:b/>
          <w:bCs/>
          <w:noProof/>
          <w:sz w:val="40"/>
        </w:rPr>
        <w:drawing>
          <wp:inline distT="0" distB="0" distL="0" distR="0" wp14:anchorId="6A57F4D8" wp14:editId="67593DF0">
            <wp:extent cx="5943600" cy="1504950"/>
            <wp:effectExtent l="0" t="0" r="0" b="0"/>
            <wp:docPr id="2048702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02159" name="Picture 2048702159"/>
                    <pic:cNvPicPr/>
                  </pic:nvPicPr>
                  <pic:blipFill>
                    <a:blip r:embed="rId23">
                      <a:extLst>
                        <a:ext uri="{28A0092B-C50C-407E-A947-70E740481C1C}">
                          <a14:useLocalDpi xmlns:a14="http://schemas.microsoft.com/office/drawing/2010/main" val="0"/>
                        </a:ext>
                      </a:extLst>
                    </a:blip>
                    <a:stretch>
                      <a:fillRect/>
                    </a:stretch>
                  </pic:blipFill>
                  <pic:spPr>
                    <a:xfrm>
                      <a:off x="0" y="0"/>
                      <a:ext cx="5943600" cy="1504950"/>
                    </a:xfrm>
                    <a:prstGeom prst="rect">
                      <a:avLst/>
                    </a:prstGeom>
                  </pic:spPr>
                </pic:pic>
              </a:graphicData>
            </a:graphic>
          </wp:inline>
        </w:drawing>
      </w:r>
      <w:proofErr w:type="spellStart"/>
      <w:r w:rsidR="008421CD" w:rsidRPr="005046C9">
        <w:rPr>
          <w:b/>
          <w:bCs/>
          <w:sz w:val="40"/>
        </w:rPr>
        <w:t>Demethoxycurcumin</w:t>
      </w:r>
      <w:proofErr w:type="spellEnd"/>
    </w:p>
    <w:p w14:paraId="13D34F76" w14:textId="410B1043" w:rsidR="007978F4" w:rsidRDefault="008421CD" w:rsidP="007978F4">
      <w:pPr>
        <w:numPr>
          <w:ilvl w:val="0"/>
          <w:numId w:val="12"/>
        </w:numPr>
        <w:rPr>
          <w:sz w:val="36"/>
        </w:rPr>
      </w:pPr>
      <w:r w:rsidRPr="009B236B">
        <w:rPr>
          <w:sz w:val="36"/>
        </w:rPr>
        <w:t>Similar to Curcumin</w:t>
      </w:r>
      <w:r w:rsidR="005046C9">
        <w:rPr>
          <w:sz w:val="36"/>
        </w:rPr>
        <w:t xml:space="preserve">, </w:t>
      </w:r>
      <w:r w:rsidRPr="005046C9">
        <w:rPr>
          <w:sz w:val="36"/>
        </w:rPr>
        <w:t>Good oral absorption</w:t>
      </w:r>
      <w:r w:rsidR="005046C9">
        <w:rPr>
          <w:sz w:val="36"/>
        </w:rPr>
        <w:t xml:space="preserve">, </w:t>
      </w:r>
      <w:proofErr w:type="gramStart"/>
      <w:r w:rsidRPr="005046C9">
        <w:rPr>
          <w:sz w:val="36"/>
        </w:rPr>
        <w:t>Good</w:t>
      </w:r>
      <w:proofErr w:type="gramEnd"/>
      <w:r w:rsidRPr="005046C9">
        <w:rPr>
          <w:sz w:val="36"/>
        </w:rPr>
        <w:t xml:space="preserve"> drug-likeness</w:t>
      </w:r>
      <w:r w:rsidR="005046C9">
        <w:rPr>
          <w:sz w:val="36"/>
        </w:rPr>
        <w:t xml:space="preserve">, </w:t>
      </w:r>
      <w:r w:rsidRPr="005046C9">
        <w:rPr>
          <w:sz w:val="36"/>
        </w:rPr>
        <w:t>Suitable for docking.</w:t>
      </w:r>
      <w:r w:rsidRPr="005046C9">
        <w:rPr>
          <w:sz w:val="48"/>
        </w:rPr>
        <w:t xml:space="preserve"> </w:t>
      </w:r>
    </w:p>
    <w:p w14:paraId="010653DF" w14:textId="73AE6694" w:rsidR="000D2C5E" w:rsidRDefault="007978F4" w:rsidP="007978F4">
      <w:pPr>
        <w:rPr>
          <w:b/>
          <w:bCs/>
          <w:sz w:val="40"/>
        </w:rPr>
      </w:pPr>
      <w:r w:rsidRPr="007978F4">
        <w:rPr>
          <w:b/>
          <w:bCs/>
          <w:sz w:val="40"/>
        </w:rPr>
        <w:lastRenderedPageBreak/>
        <w:t>THE ADME ANALYSIS:</w:t>
      </w:r>
      <w:r w:rsidR="000D2C5E" w:rsidRPr="000D2C5E">
        <w:rPr>
          <w:b/>
          <w:bCs/>
          <w:noProof/>
          <w:sz w:val="40"/>
        </w:rPr>
        <w:t xml:space="preserve"> </w:t>
      </w:r>
      <w:r w:rsidR="000D2C5E">
        <w:rPr>
          <w:b/>
          <w:bCs/>
          <w:noProof/>
          <w:sz w:val="40"/>
        </w:rPr>
        <w:drawing>
          <wp:inline distT="0" distB="0" distL="0" distR="0" wp14:anchorId="209B5835" wp14:editId="54BEC59A">
            <wp:extent cx="5943600" cy="4519930"/>
            <wp:effectExtent l="0" t="0" r="0" b="0"/>
            <wp:docPr id="2081155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5269" name="Picture 2081155269"/>
                    <pic:cNvPicPr/>
                  </pic:nvPicPr>
                  <pic:blipFill>
                    <a:blip r:embed="rId24">
                      <a:extLst>
                        <a:ext uri="{28A0092B-C50C-407E-A947-70E740481C1C}">
                          <a14:useLocalDpi xmlns:a14="http://schemas.microsoft.com/office/drawing/2010/main" val="0"/>
                        </a:ext>
                      </a:extLst>
                    </a:blip>
                    <a:stretch>
                      <a:fillRect/>
                    </a:stretch>
                  </pic:blipFill>
                  <pic:spPr>
                    <a:xfrm>
                      <a:off x="0" y="0"/>
                      <a:ext cx="5943600" cy="4519930"/>
                    </a:xfrm>
                    <a:prstGeom prst="rect">
                      <a:avLst/>
                    </a:prstGeom>
                  </pic:spPr>
                </pic:pic>
              </a:graphicData>
            </a:graphic>
          </wp:inline>
        </w:drawing>
      </w:r>
    </w:p>
    <w:p w14:paraId="5C2F99D2" w14:textId="77777777" w:rsidR="000D2C5E" w:rsidRDefault="000D2C5E" w:rsidP="007978F4">
      <w:pPr>
        <w:rPr>
          <w:b/>
          <w:bCs/>
          <w:sz w:val="40"/>
        </w:rPr>
      </w:pPr>
      <w:r>
        <w:rPr>
          <w:b/>
          <w:bCs/>
          <w:sz w:val="40"/>
        </w:rPr>
        <w:t>Toxicity analysis:</w:t>
      </w:r>
    </w:p>
    <w:p w14:paraId="4219AC97" w14:textId="77777777" w:rsidR="0032162F" w:rsidRDefault="000D2C5E" w:rsidP="000D2C5E">
      <w:pPr>
        <w:rPr>
          <w:b/>
          <w:bCs/>
          <w:sz w:val="40"/>
        </w:rPr>
      </w:pPr>
      <w:r>
        <w:rPr>
          <w:b/>
          <w:bCs/>
          <w:noProof/>
          <w:sz w:val="40"/>
        </w:rPr>
        <w:drawing>
          <wp:inline distT="0" distB="0" distL="0" distR="0" wp14:anchorId="52FD39F8" wp14:editId="3AEBE14D">
            <wp:extent cx="5943600" cy="1500505"/>
            <wp:effectExtent l="0" t="0" r="0" b="4445"/>
            <wp:docPr id="659379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9729" name="Picture 659379729"/>
                    <pic:cNvPicPr/>
                  </pic:nvPicPr>
                  <pic:blipFill>
                    <a:blip r:embed="rId25">
                      <a:extLst>
                        <a:ext uri="{28A0092B-C50C-407E-A947-70E740481C1C}">
                          <a14:useLocalDpi xmlns:a14="http://schemas.microsoft.com/office/drawing/2010/main" val="0"/>
                        </a:ext>
                      </a:extLst>
                    </a:blip>
                    <a:stretch>
                      <a:fillRect/>
                    </a:stretch>
                  </pic:blipFill>
                  <pic:spPr>
                    <a:xfrm>
                      <a:off x="0" y="0"/>
                      <a:ext cx="5943600" cy="1500505"/>
                    </a:xfrm>
                    <a:prstGeom prst="rect">
                      <a:avLst/>
                    </a:prstGeom>
                  </pic:spPr>
                </pic:pic>
              </a:graphicData>
            </a:graphic>
          </wp:inline>
        </w:drawing>
      </w:r>
    </w:p>
    <w:p w14:paraId="69C0B708" w14:textId="77777777" w:rsidR="0032162F" w:rsidRDefault="0032162F" w:rsidP="000D2C5E">
      <w:pPr>
        <w:rPr>
          <w:b/>
          <w:bCs/>
          <w:sz w:val="40"/>
        </w:rPr>
      </w:pPr>
    </w:p>
    <w:p w14:paraId="60D4D542" w14:textId="77777777" w:rsidR="0032162F" w:rsidRDefault="0032162F" w:rsidP="000D2C5E">
      <w:pPr>
        <w:rPr>
          <w:b/>
          <w:bCs/>
          <w:sz w:val="40"/>
        </w:rPr>
      </w:pPr>
    </w:p>
    <w:p w14:paraId="0D8916D1" w14:textId="213A9E3A" w:rsidR="000D2C5E" w:rsidRPr="0032162F" w:rsidRDefault="000D2C5E" w:rsidP="000D2C5E">
      <w:pPr>
        <w:rPr>
          <w:b/>
          <w:bCs/>
          <w:sz w:val="40"/>
        </w:rPr>
      </w:pPr>
      <w:r w:rsidRPr="008421CD">
        <w:rPr>
          <w:b/>
          <w:bCs/>
          <w:sz w:val="48"/>
        </w:rPr>
        <w:lastRenderedPageBreak/>
        <w:t>Bisdemethoxycurcumin</w:t>
      </w:r>
    </w:p>
    <w:p w14:paraId="797AA857" w14:textId="77777777" w:rsidR="006844AE" w:rsidRPr="006844AE" w:rsidRDefault="000D2C5E" w:rsidP="000D2C5E">
      <w:pPr>
        <w:numPr>
          <w:ilvl w:val="0"/>
          <w:numId w:val="13"/>
        </w:numPr>
        <w:rPr>
          <w:sz w:val="36"/>
        </w:rPr>
      </w:pPr>
      <w:r w:rsidRPr="009B236B">
        <w:rPr>
          <w:sz w:val="36"/>
        </w:rPr>
        <w:t>Excellent ADME profile</w:t>
      </w:r>
      <w:r>
        <w:rPr>
          <w:sz w:val="36"/>
        </w:rPr>
        <w:t xml:space="preserve">, </w:t>
      </w:r>
      <w:proofErr w:type="gramStart"/>
      <w:r w:rsidRPr="005046C9">
        <w:rPr>
          <w:sz w:val="36"/>
        </w:rPr>
        <w:t>Better</w:t>
      </w:r>
      <w:proofErr w:type="gramEnd"/>
      <w:r w:rsidRPr="005046C9">
        <w:rPr>
          <w:sz w:val="36"/>
        </w:rPr>
        <w:t xml:space="preserve"> aqueous solubility than Curcumin,</w:t>
      </w:r>
      <w:r>
        <w:rPr>
          <w:sz w:val="36"/>
        </w:rPr>
        <w:t xml:space="preserve"> </w:t>
      </w:r>
      <w:r w:rsidRPr="005046C9">
        <w:rPr>
          <w:sz w:val="36"/>
        </w:rPr>
        <w:t>Suitable for docking</w:t>
      </w:r>
      <w:r w:rsidRPr="005046C9">
        <w:rPr>
          <w:sz w:val="48"/>
        </w:rPr>
        <w:t xml:space="preserve">. </w:t>
      </w:r>
    </w:p>
    <w:p w14:paraId="16FD1BC8" w14:textId="3A802360" w:rsidR="000D2C5E" w:rsidRPr="006844AE" w:rsidRDefault="006844AE" w:rsidP="006844AE">
      <w:pPr>
        <w:rPr>
          <w:sz w:val="36"/>
        </w:rPr>
      </w:pPr>
      <w:r w:rsidRPr="006844AE">
        <w:rPr>
          <w:b/>
          <w:bCs/>
          <w:sz w:val="36"/>
        </w:rPr>
        <w:t>THE ADME ANALYSIS</w:t>
      </w:r>
      <w:r w:rsidR="007607D8">
        <w:rPr>
          <w:b/>
          <w:bCs/>
          <w:sz w:val="36"/>
        </w:rPr>
        <w:t xml:space="preserve"> </w:t>
      </w:r>
      <w:proofErr w:type="gramStart"/>
      <w:r w:rsidR="007607D8">
        <w:rPr>
          <w:b/>
          <w:bCs/>
          <w:sz w:val="36"/>
        </w:rPr>
        <w:t>and  TOXICITY</w:t>
      </w:r>
      <w:proofErr w:type="gramEnd"/>
      <w:r w:rsidR="007607D8">
        <w:rPr>
          <w:b/>
          <w:bCs/>
          <w:sz w:val="36"/>
        </w:rPr>
        <w:t xml:space="preserve"> ANALYSIS</w:t>
      </w:r>
      <w:r>
        <w:rPr>
          <w:b/>
          <w:bCs/>
          <w:sz w:val="36"/>
        </w:rPr>
        <w:t>:</w:t>
      </w:r>
    </w:p>
    <w:p w14:paraId="420F97B1" w14:textId="7BDF54CE" w:rsidR="000D2C5E" w:rsidRDefault="006844AE" w:rsidP="000D2C5E">
      <w:pPr>
        <w:rPr>
          <w:b/>
          <w:bCs/>
          <w:sz w:val="36"/>
        </w:rPr>
      </w:pPr>
      <w:r>
        <w:rPr>
          <w:b/>
          <w:bCs/>
          <w:noProof/>
          <w:sz w:val="36"/>
        </w:rPr>
        <w:drawing>
          <wp:inline distT="0" distB="0" distL="0" distR="0" wp14:anchorId="41C54A76" wp14:editId="18CB8F0A">
            <wp:extent cx="5943600" cy="4509135"/>
            <wp:effectExtent l="0" t="0" r="0" b="5715"/>
            <wp:docPr id="685688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8618" name="Picture 685688618"/>
                    <pic:cNvPicPr/>
                  </pic:nvPicPr>
                  <pic:blipFill>
                    <a:blip r:embed="rId26">
                      <a:extLst>
                        <a:ext uri="{28A0092B-C50C-407E-A947-70E740481C1C}">
                          <a14:useLocalDpi xmlns:a14="http://schemas.microsoft.com/office/drawing/2010/main" val="0"/>
                        </a:ext>
                      </a:extLst>
                    </a:blip>
                    <a:stretch>
                      <a:fillRect/>
                    </a:stretch>
                  </pic:blipFill>
                  <pic:spPr>
                    <a:xfrm>
                      <a:off x="0" y="0"/>
                      <a:ext cx="5943600" cy="4509135"/>
                    </a:xfrm>
                    <a:prstGeom prst="rect">
                      <a:avLst/>
                    </a:prstGeom>
                  </pic:spPr>
                </pic:pic>
              </a:graphicData>
            </a:graphic>
          </wp:inline>
        </w:drawing>
      </w:r>
    </w:p>
    <w:p w14:paraId="06442DE7" w14:textId="60063C09" w:rsidR="0032162F" w:rsidRDefault="007607D8" w:rsidP="008421CD">
      <w:pPr>
        <w:rPr>
          <w:b/>
          <w:bCs/>
          <w:sz w:val="48"/>
        </w:rPr>
      </w:pPr>
      <w:r>
        <w:rPr>
          <w:b/>
          <w:bCs/>
          <w:noProof/>
          <w:sz w:val="40"/>
        </w:rPr>
        <w:drawing>
          <wp:inline distT="0" distB="0" distL="0" distR="0" wp14:anchorId="7B7DF3D2" wp14:editId="42C0A8AC">
            <wp:extent cx="5943600" cy="1522730"/>
            <wp:effectExtent l="0" t="0" r="0" b="1270"/>
            <wp:docPr id="310444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44138" name="Picture 310444138"/>
                    <pic:cNvPicPr/>
                  </pic:nvPicPr>
                  <pic:blipFill>
                    <a:blip r:embed="rId27">
                      <a:extLst>
                        <a:ext uri="{28A0092B-C50C-407E-A947-70E740481C1C}">
                          <a14:useLocalDpi xmlns:a14="http://schemas.microsoft.com/office/drawing/2010/main" val="0"/>
                        </a:ext>
                      </a:extLst>
                    </a:blip>
                    <a:stretch>
                      <a:fillRect/>
                    </a:stretch>
                  </pic:blipFill>
                  <pic:spPr>
                    <a:xfrm>
                      <a:off x="0" y="0"/>
                      <a:ext cx="5943600" cy="1522730"/>
                    </a:xfrm>
                    <a:prstGeom prst="rect">
                      <a:avLst/>
                    </a:prstGeom>
                  </pic:spPr>
                </pic:pic>
              </a:graphicData>
            </a:graphic>
          </wp:inline>
        </w:drawing>
      </w:r>
      <w:r w:rsidR="0032162F">
        <w:rPr>
          <w:b/>
          <w:bCs/>
          <w:sz w:val="48"/>
        </w:rPr>
        <w:t xml:space="preserve">  </w:t>
      </w:r>
    </w:p>
    <w:p w14:paraId="67542652" w14:textId="77777777" w:rsidR="00501712" w:rsidRDefault="008421CD" w:rsidP="008421CD">
      <w:pPr>
        <w:rPr>
          <w:b/>
          <w:bCs/>
          <w:sz w:val="48"/>
        </w:rPr>
      </w:pPr>
      <w:r w:rsidRPr="008421CD">
        <w:rPr>
          <w:b/>
          <w:bCs/>
          <w:sz w:val="48"/>
        </w:rPr>
        <w:lastRenderedPageBreak/>
        <w:t>Calebin A</w:t>
      </w:r>
    </w:p>
    <w:p w14:paraId="4D139712" w14:textId="7F432855" w:rsidR="00501712" w:rsidRPr="00501712" w:rsidRDefault="00501712" w:rsidP="008421CD">
      <w:pPr>
        <w:rPr>
          <w:sz w:val="36"/>
        </w:rPr>
      </w:pPr>
      <w:r w:rsidRPr="00501712">
        <w:rPr>
          <w:sz w:val="36"/>
        </w:rPr>
        <w:t>Calebin A was not selected for molecular docking because, although it possesses antioxidant and anticancer properties, its activity against hepatocellular carcinoma and the PI3K signaling pathway has been investigated far less extensively than that of curcumin. Additionally, there are fewer molecular docking and experimental studies validating its interaction with PI3K, making it a less suitable candidate for this study.</w:t>
      </w:r>
    </w:p>
    <w:p w14:paraId="28DABB00" w14:textId="3402B7DB" w:rsidR="008421CD" w:rsidRDefault="008421CD" w:rsidP="008421CD">
      <w:pPr>
        <w:rPr>
          <w:b/>
          <w:bCs/>
          <w:sz w:val="48"/>
        </w:rPr>
      </w:pPr>
      <w:proofErr w:type="spellStart"/>
      <w:r w:rsidRPr="008421CD">
        <w:rPr>
          <w:b/>
          <w:bCs/>
          <w:sz w:val="48"/>
        </w:rPr>
        <w:t>Cyclocurcumin</w:t>
      </w:r>
      <w:proofErr w:type="spellEnd"/>
    </w:p>
    <w:p w14:paraId="481C1144" w14:textId="1AB99FFA" w:rsidR="00501712" w:rsidRPr="00501712" w:rsidRDefault="00501712" w:rsidP="008421CD">
      <w:pPr>
        <w:rPr>
          <w:sz w:val="36"/>
        </w:rPr>
      </w:pPr>
      <w:proofErr w:type="spellStart"/>
      <w:r w:rsidRPr="00501712">
        <w:rPr>
          <w:sz w:val="36"/>
        </w:rPr>
        <w:t>Cyclocurcumin</w:t>
      </w:r>
      <w:proofErr w:type="spellEnd"/>
      <w:r w:rsidRPr="00501712">
        <w:rPr>
          <w:sz w:val="36"/>
        </w:rPr>
        <w:t xml:space="preserve"> was excluded from molecular docking because of the limited evidence supporting its anticancer activity against hepatocellular carcinoma and its relatively low number of studies targeting the PI3K pathway. Compared with curcumin and its major analogues, </w:t>
      </w:r>
      <w:proofErr w:type="spellStart"/>
      <w:r w:rsidRPr="00501712">
        <w:rPr>
          <w:sz w:val="36"/>
        </w:rPr>
        <w:t>Cyclocurcumin</w:t>
      </w:r>
      <w:proofErr w:type="spellEnd"/>
      <w:r w:rsidRPr="00501712">
        <w:rPr>
          <w:sz w:val="36"/>
        </w:rPr>
        <w:t xml:space="preserve"> has lower research validation and less documented therapeutic potential, making it a less appropriate choice for the present investigation</w:t>
      </w:r>
    </w:p>
    <w:p w14:paraId="0F7101A4" w14:textId="25C4AF66" w:rsidR="00533532" w:rsidRDefault="00533532" w:rsidP="00501712">
      <w:pPr>
        <w:rPr>
          <w:b/>
          <w:bCs/>
          <w:sz w:val="48"/>
        </w:rPr>
      </w:pPr>
      <w:r w:rsidRPr="00533532">
        <w:rPr>
          <w:b/>
          <w:bCs/>
          <w:sz w:val="48"/>
        </w:rPr>
        <w:t>Docking with curcumin</w:t>
      </w:r>
      <w:r>
        <w:rPr>
          <w:b/>
          <w:bCs/>
          <w:sz w:val="48"/>
        </w:rPr>
        <w:t>:</w:t>
      </w:r>
    </w:p>
    <w:p w14:paraId="78BBEC6E" w14:textId="7296F4B5" w:rsidR="0002470A" w:rsidRPr="0002470A" w:rsidRDefault="0002470A" w:rsidP="00533532">
      <w:pPr>
        <w:rPr>
          <w:sz w:val="36"/>
        </w:rPr>
      </w:pPr>
      <w:r>
        <w:rPr>
          <w:sz w:val="36"/>
        </w:rPr>
        <w:t xml:space="preserve">The ligand (curcumin)docked with the active site of </w:t>
      </w:r>
      <w:proofErr w:type="spellStart"/>
      <w:r>
        <w:rPr>
          <w:sz w:val="36"/>
        </w:rPr>
        <w:t>recptor</w:t>
      </w:r>
      <w:proofErr w:type="spellEnd"/>
      <w:r>
        <w:rPr>
          <w:sz w:val="36"/>
        </w:rPr>
        <w:t xml:space="preserve"> protein P1k3CA.</w:t>
      </w:r>
    </w:p>
    <w:p w14:paraId="54C6238E" w14:textId="77777777" w:rsidR="0002470A" w:rsidRDefault="0002470A" w:rsidP="00533532">
      <w:pPr>
        <w:rPr>
          <w:sz w:val="36"/>
        </w:rPr>
      </w:pPr>
      <w:r w:rsidRPr="0002470A">
        <w:rPr>
          <w:sz w:val="36"/>
        </w:rPr>
        <w:t>Key interacting residues include</w:t>
      </w:r>
    </w:p>
    <w:p w14:paraId="7F91B412" w14:textId="13B61AF1" w:rsidR="0002470A" w:rsidRDefault="0002470A" w:rsidP="00533532">
      <w:pPr>
        <w:rPr>
          <w:sz w:val="36"/>
        </w:rPr>
      </w:pPr>
      <w:r w:rsidRPr="0002470A">
        <w:rPr>
          <w:sz w:val="36"/>
        </w:rPr>
        <w:t xml:space="preserve">TRP A:700, HIS A:665, VAL A:853, GLN A:859, </w:t>
      </w:r>
    </w:p>
    <w:p w14:paraId="0BC2B7CE" w14:textId="77777777" w:rsidR="0002470A" w:rsidRDefault="0002470A" w:rsidP="00533532">
      <w:pPr>
        <w:rPr>
          <w:sz w:val="36"/>
        </w:rPr>
      </w:pPr>
      <w:r w:rsidRPr="0002470A">
        <w:rPr>
          <w:sz w:val="36"/>
        </w:rPr>
        <w:t>PHE A:930, ILE A:972, VAL A:950, ILE A:900,</w:t>
      </w:r>
    </w:p>
    <w:p w14:paraId="785EBEAE" w14:textId="77777777" w:rsidR="0002470A" w:rsidRDefault="0002470A" w:rsidP="00533532">
      <w:pPr>
        <w:rPr>
          <w:sz w:val="36"/>
        </w:rPr>
      </w:pPr>
      <w:r w:rsidRPr="0002470A">
        <w:rPr>
          <w:sz w:val="36"/>
        </w:rPr>
        <w:lastRenderedPageBreak/>
        <w:t xml:space="preserve"> LYS A:802, ASP A:933, ILE A:848, SER A:774,</w:t>
      </w:r>
    </w:p>
    <w:p w14:paraId="2C249BF4" w14:textId="4812128E" w:rsidR="0002470A" w:rsidRPr="0002470A" w:rsidRDefault="0002470A" w:rsidP="00533532">
      <w:pPr>
        <w:rPr>
          <w:sz w:val="36"/>
        </w:rPr>
      </w:pPr>
      <w:r w:rsidRPr="0002470A">
        <w:rPr>
          <w:sz w:val="36"/>
        </w:rPr>
        <w:t xml:space="preserve"> MET A:772, ARG A:852, ASN A:853, SER A:854, and MET A:922.</w:t>
      </w:r>
    </w:p>
    <w:p w14:paraId="021753CE" w14:textId="77777777" w:rsidR="0002470A" w:rsidRDefault="0002470A" w:rsidP="0002470A">
      <w:pPr>
        <w:keepNext/>
      </w:pPr>
      <w:r>
        <w:rPr>
          <w:noProof/>
        </w:rPr>
        <w:drawing>
          <wp:inline distT="0" distB="0" distL="0" distR="0" wp14:anchorId="7E2455B8" wp14:editId="41BEAB2C">
            <wp:extent cx="5943600" cy="3002280"/>
            <wp:effectExtent l="0" t="0" r="0" b="7620"/>
            <wp:docPr id="463582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2924" name="Picture 463582924"/>
                    <pic:cNvPicPr/>
                  </pic:nvPicPr>
                  <pic:blipFill>
                    <a:blip r:embed="rId28">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20C70EED" w14:textId="0641F7C3" w:rsidR="007607D8" w:rsidRPr="0002470A" w:rsidRDefault="0002470A" w:rsidP="0002470A">
      <w:pPr>
        <w:pStyle w:val="Caption"/>
        <w:rPr>
          <w:sz w:val="24"/>
        </w:rPr>
      </w:pPr>
      <w:r>
        <w:t xml:space="preserve">Figure </w:t>
      </w:r>
      <w:r>
        <w:fldChar w:fldCharType="begin"/>
      </w:r>
      <w:r>
        <w:instrText xml:space="preserve"> SEQ Figure \* ARABIC </w:instrText>
      </w:r>
      <w:r>
        <w:fldChar w:fldCharType="separate"/>
      </w:r>
      <w:r w:rsidR="002016F0">
        <w:rPr>
          <w:noProof/>
        </w:rPr>
        <w:t>9</w:t>
      </w:r>
      <w:r>
        <w:fldChar w:fldCharType="end"/>
      </w:r>
      <w:r>
        <w:t xml:space="preserve"> </w:t>
      </w:r>
      <w:r w:rsidRPr="0002470A">
        <w:t xml:space="preserve">Molecular docking interactions between the ligand and receptor, visualized in Discovery Studio Visualizer. </w:t>
      </w:r>
      <w:r w:rsidRPr="0002470A">
        <w:rPr>
          <w:b/>
          <w:bCs/>
        </w:rPr>
        <w:t>(Left)</w:t>
      </w:r>
      <w:r w:rsidRPr="0002470A">
        <w:t xml:space="preserve"> Overall 3D representation of the receptor-ligand complex, showing the protein secondary structure (α-helices in red, β-sheets in cyan, loops in gray/white) with the docked ligand bound within the binding pocket. </w:t>
      </w:r>
      <w:r w:rsidRPr="0002470A">
        <w:rPr>
          <w:b/>
          <w:bCs/>
        </w:rPr>
        <w:t>(Right)</w:t>
      </w:r>
      <w:r w:rsidRPr="0002470A">
        <w:t xml:space="preserve"> 2D interaction diagram depicting the residues within the ligand-binding site and their corresponding non-bonded interactions, including van der Waals contacts (light green), conventional hydrogen bonds (dark green), Pi-Pi T-shaped interactions (magenta), and alkyl interactions (pink)</w:t>
      </w:r>
    </w:p>
    <w:p w14:paraId="07105420" w14:textId="77777777" w:rsidR="0028792F" w:rsidRDefault="0028792F" w:rsidP="0028792F">
      <w:pPr>
        <w:rPr>
          <w:b/>
          <w:bCs/>
          <w:sz w:val="48"/>
        </w:rPr>
      </w:pPr>
      <w:r w:rsidRPr="000B3770">
        <w:rPr>
          <w:b/>
          <w:bCs/>
          <w:sz w:val="48"/>
        </w:rPr>
        <w:t>In docking result</w:t>
      </w:r>
    </w:p>
    <w:p w14:paraId="1877FB63" w14:textId="77777777" w:rsidR="0028792F" w:rsidRPr="000B3770" w:rsidRDefault="0028792F" w:rsidP="0028792F">
      <w:pPr>
        <w:rPr>
          <w:sz w:val="36"/>
        </w:rPr>
      </w:pPr>
      <w:r w:rsidRPr="009B236B">
        <w:rPr>
          <w:sz w:val="36"/>
        </w:rPr>
        <w:t>The docked conformation with the lowest binding free energy was selected for further interaction analysis because no larger multi-member cluster with a comparable energy was observed."</w:t>
      </w:r>
    </w:p>
    <w:p w14:paraId="4DF3BB70" w14:textId="77777777" w:rsidR="0028792F" w:rsidRPr="000B3770" w:rsidRDefault="0028792F" w:rsidP="0028792F">
      <w:pPr>
        <w:rPr>
          <w:b/>
          <w:bCs/>
          <w:sz w:val="36"/>
        </w:rPr>
      </w:pPr>
      <w:r w:rsidRPr="000B3770">
        <w:rPr>
          <w:sz w:val="36"/>
        </w:rPr>
        <w:t xml:space="preserve"> </w:t>
      </w:r>
      <w:r w:rsidRPr="000B3770">
        <w:rPr>
          <w:b/>
          <w:bCs/>
          <w:sz w:val="36"/>
        </w:rPr>
        <w:t>table shows:</w:t>
      </w:r>
    </w:p>
    <w:tbl>
      <w:tblPr>
        <w:tblStyle w:val="TableGrid"/>
        <w:tblW w:w="0" w:type="auto"/>
        <w:tblLook w:val="04A0" w:firstRow="1" w:lastRow="0" w:firstColumn="1" w:lastColumn="0" w:noHBand="0" w:noVBand="1"/>
      </w:tblPr>
      <w:tblGrid>
        <w:gridCol w:w="9350"/>
      </w:tblGrid>
      <w:tr w:rsidR="0002470A" w14:paraId="604D63BC" w14:textId="77777777" w:rsidTr="0002470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2735"/>
              <w:gridCol w:w="1471"/>
            </w:tblGrid>
            <w:tr w:rsidR="0002470A" w:rsidRPr="0002470A" w14:paraId="216800E3" w14:textId="77777777" w:rsidTr="004C0D30">
              <w:trPr>
                <w:tblHeader/>
                <w:tblCellSpacing w:w="15" w:type="dxa"/>
              </w:trPr>
              <w:tc>
                <w:tcPr>
                  <w:tcW w:w="2440" w:type="dxa"/>
                  <w:vAlign w:val="center"/>
                  <w:hideMark/>
                </w:tcPr>
                <w:p w14:paraId="2133D862" w14:textId="77777777" w:rsidR="0002470A" w:rsidRPr="0002470A" w:rsidRDefault="0002470A" w:rsidP="004C0D30">
                  <w:pPr>
                    <w:rPr>
                      <w:b/>
                      <w:bCs/>
                      <w:sz w:val="36"/>
                    </w:rPr>
                  </w:pPr>
                  <w:r w:rsidRPr="0002470A">
                    <w:rPr>
                      <w:b/>
                      <w:bCs/>
                      <w:sz w:val="36"/>
                    </w:rPr>
                    <w:lastRenderedPageBreak/>
                    <w:t>Rank</w:t>
                  </w:r>
                </w:p>
              </w:tc>
              <w:tc>
                <w:tcPr>
                  <w:tcW w:w="2705" w:type="dxa"/>
                  <w:vAlign w:val="center"/>
                  <w:hideMark/>
                </w:tcPr>
                <w:p w14:paraId="5D00F17B" w14:textId="77777777" w:rsidR="0002470A" w:rsidRPr="0002470A" w:rsidRDefault="0002470A" w:rsidP="004C0D30">
                  <w:pPr>
                    <w:rPr>
                      <w:b/>
                      <w:bCs/>
                      <w:sz w:val="36"/>
                    </w:rPr>
                  </w:pPr>
                  <w:r w:rsidRPr="0002470A">
                    <w:rPr>
                      <w:b/>
                      <w:bCs/>
                      <w:sz w:val="36"/>
                    </w:rPr>
                    <w:t>Energy</w:t>
                  </w:r>
                </w:p>
              </w:tc>
              <w:tc>
                <w:tcPr>
                  <w:tcW w:w="1426" w:type="dxa"/>
                  <w:vAlign w:val="center"/>
                  <w:hideMark/>
                </w:tcPr>
                <w:p w14:paraId="083CD946" w14:textId="77777777" w:rsidR="0002470A" w:rsidRPr="0002470A" w:rsidRDefault="0002470A" w:rsidP="004C0D30">
                  <w:pPr>
                    <w:rPr>
                      <w:b/>
                      <w:bCs/>
                      <w:sz w:val="36"/>
                    </w:rPr>
                  </w:pPr>
                  <w:r w:rsidRPr="0002470A">
                    <w:rPr>
                      <w:b/>
                      <w:bCs/>
                      <w:sz w:val="36"/>
                    </w:rPr>
                    <w:t>Cluster RMSD</w:t>
                  </w:r>
                </w:p>
              </w:tc>
            </w:tr>
            <w:tr w:rsidR="0002470A" w:rsidRPr="0002470A" w14:paraId="75891B74" w14:textId="77777777" w:rsidTr="004C0D30">
              <w:trPr>
                <w:tblCellSpacing w:w="15" w:type="dxa"/>
              </w:trPr>
              <w:tc>
                <w:tcPr>
                  <w:tcW w:w="2440" w:type="dxa"/>
                  <w:vAlign w:val="center"/>
                  <w:hideMark/>
                </w:tcPr>
                <w:p w14:paraId="2DF6CF9F" w14:textId="77777777" w:rsidR="0002470A" w:rsidRPr="0002470A" w:rsidRDefault="0002470A" w:rsidP="004C0D30">
                  <w:pPr>
                    <w:rPr>
                      <w:sz w:val="36"/>
                    </w:rPr>
                  </w:pPr>
                  <w:r w:rsidRPr="0002470A">
                    <w:rPr>
                      <w:sz w:val="36"/>
                    </w:rPr>
                    <w:t>1</w:t>
                  </w:r>
                </w:p>
              </w:tc>
              <w:tc>
                <w:tcPr>
                  <w:tcW w:w="2705" w:type="dxa"/>
                  <w:vAlign w:val="center"/>
                  <w:hideMark/>
                </w:tcPr>
                <w:p w14:paraId="7087C15A" w14:textId="77777777" w:rsidR="0002470A" w:rsidRPr="0002470A" w:rsidRDefault="0002470A" w:rsidP="004C0D30">
                  <w:pPr>
                    <w:rPr>
                      <w:sz w:val="36"/>
                    </w:rPr>
                  </w:pPr>
                  <w:r w:rsidRPr="0002470A">
                    <w:rPr>
                      <w:b/>
                      <w:bCs/>
                      <w:sz w:val="36"/>
                    </w:rPr>
                    <w:t>−3.72</w:t>
                  </w:r>
                </w:p>
              </w:tc>
              <w:tc>
                <w:tcPr>
                  <w:tcW w:w="1426" w:type="dxa"/>
                  <w:vAlign w:val="center"/>
                  <w:hideMark/>
                </w:tcPr>
                <w:p w14:paraId="23119B8C" w14:textId="77777777" w:rsidR="0002470A" w:rsidRPr="0002470A" w:rsidRDefault="0002470A" w:rsidP="004C0D30">
                  <w:pPr>
                    <w:rPr>
                      <w:sz w:val="36"/>
                    </w:rPr>
                  </w:pPr>
                  <w:r w:rsidRPr="0002470A">
                    <w:rPr>
                      <w:sz w:val="36"/>
                    </w:rPr>
                    <w:t>0.00</w:t>
                  </w:r>
                </w:p>
              </w:tc>
            </w:tr>
            <w:tr w:rsidR="0002470A" w:rsidRPr="0002470A" w14:paraId="016AEE40" w14:textId="77777777" w:rsidTr="004C0D30">
              <w:trPr>
                <w:tblCellSpacing w:w="15" w:type="dxa"/>
              </w:trPr>
              <w:tc>
                <w:tcPr>
                  <w:tcW w:w="2440" w:type="dxa"/>
                  <w:vAlign w:val="center"/>
                  <w:hideMark/>
                </w:tcPr>
                <w:p w14:paraId="27EF29ED" w14:textId="77777777" w:rsidR="0002470A" w:rsidRPr="0002470A" w:rsidRDefault="0002470A" w:rsidP="004C0D30">
                  <w:pPr>
                    <w:rPr>
                      <w:sz w:val="36"/>
                    </w:rPr>
                  </w:pPr>
                  <w:r w:rsidRPr="0002470A">
                    <w:rPr>
                      <w:sz w:val="36"/>
                    </w:rPr>
                    <w:t>2</w:t>
                  </w:r>
                </w:p>
              </w:tc>
              <w:tc>
                <w:tcPr>
                  <w:tcW w:w="2705" w:type="dxa"/>
                  <w:vAlign w:val="center"/>
                  <w:hideMark/>
                </w:tcPr>
                <w:p w14:paraId="1D283B72" w14:textId="77777777" w:rsidR="0002470A" w:rsidRPr="0002470A" w:rsidRDefault="0002470A" w:rsidP="004C0D30">
                  <w:pPr>
                    <w:rPr>
                      <w:sz w:val="36"/>
                    </w:rPr>
                  </w:pPr>
                  <w:r w:rsidRPr="0002470A">
                    <w:rPr>
                      <w:sz w:val="36"/>
                    </w:rPr>
                    <w:t>−3.64</w:t>
                  </w:r>
                </w:p>
              </w:tc>
              <w:tc>
                <w:tcPr>
                  <w:tcW w:w="1426" w:type="dxa"/>
                  <w:vAlign w:val="center"/>
                  <w:hideMark/>
                </w:tcPr>
                <w:p w14:paraId="2B7D4FCB" w14:textId="77777777" w:rsidR="0002470A" w:rsidRPr="0002470A" w:rsidRDefault="0002470A" w:rsidP="004C0D30">
                  <w:pPr>
                    <w:rPr>
                      <w:sz w:val="36"/>
                    </w:rPr>
                  </w:pPr>
                  <w:r w:rsidRPr="0002470A">
                    <w:rPr>
                      <w:sz w:val="36"/>
                    </w:rPr>
                    <w:t>0.00</w:t>
                  </w:r>
                </w:p>
              </w:tc>
            </w:tr>
          </w:tbl>
          <w:p w14:paraId="7E42B602" w14:textId="77777777" w:rsidR="0002470A" w:rsidRDefault="0002470A"/>
        </w:tc>
      </w:tr>
    </w:tbl>
    <w:p w14:paraId="3D011288" w14:textId="77777777" w:rsidR="0028792F" w:rsidRPr="000B3770" w:rsidRDefault="0028792F" w:rsidP="0028792F">
      <w:pPr>
        <w:rPr>
          <w:sz w:val="36"/>
        </w:rPr>
      </w:pPr>
      <w:r w:rsidRPr="000B3770">
        <w:rPr>
          <w:sz w:val="36"/>
        </w:rPr>
        <w:t>Every row has Sub Rank = 1, which suggests each run formed its own cluster (each cluster contains only one pose).</w:t>
      </w:r>
    </w:p>
    <w:p w14:paraId="0427D483" w14:textId="0170C60E" w:rsidR="0028792F" w:rsidRPr="0028792F" w:rsidRDefault="0028792F" w:rsidP="00AE1FA2">
      <w:pPr>
        <w:rPr>
          <w:sz w:val="36"/>
        </w:rPr>
      </w:pPr>
      <w:r w:rsidRPr="000B3770">
        <w:rPr>
          <w:sz w:val="36"/>
        </w:rPr>
        <w:t>That means there is no large cluster to compare. In this situation, the standard approach is to choose the lowest-energy conformation, which is Rank 1 (−3.72 kcal/mol).</w:t>
      </w:r>
    </w:p>
    <w:p w14:paraId="266DD60A" w14:textId="78438F3B" w:rsidR="00863ADE" w:rsidRDefault="00432BB9" w:rsidP="00AE1FA2">
      <w:pPr>
        <w:rPr>
          <w:b/>
          <w:bCs/>
          <w:sz w:val="56"/>
        </w:rPr>
      </w:pPr>
      <w:r w:rsidRPr="00432BB9">
        <w:rPr>
          <w:b/>
          <w:bCs/>
          <w:sz w:val="56"/>
        </w:rPr>
        <w:t xml:space="preserve">Docked </w:t>
      </w:r>
      <w:r w:rsidR="00895932">
        <w:rPr>
          <w:b/>
          <w:bCs/>
          <w:sz w:val="56"/>
        </w:rPr>
        <w:t>Parameter:</w:t>
      </w:r>
    </w:p>
    <w:p w14:paraId="35876ABB" w14:textId="4AF9B549" w:rsidR="00AA54A7" w:rsidRDefault="00CE04B2" w:rsidP="00AE1FA2">
      <w:pPr>
        <w:rPr>
          <w:sz w:val="36"/>
        </w:rPr>
      </w:pPr>
      <w:r>
        <w:rPr>
          <w:sz w:val="36"/>
        </w:rPr>
        <w:t>T</w:t>
      </w:r>
      <w:r w:rsidR="00AA54A7" w:rsidRPr="00AA54A7">
        <w:rPr>
          <w:sz w:val="36"/>
        </w:rPr>
        <w:t xml:space="preserve">he </w:t>
      </w:r>
      <w:r w:rsidR="00AA54A7" w:rsidRPr="00AA54A7">
        <w:rPr>
          <w:b/>
          <w:bCs/>
          <w:sz w:val="36"/>
        </w:rPr>
        <w:t>binding-site center</w:t>
      </w:r>
      <w:r w:rsidR="00AA54A7" w:rsidRPr="00AA54A7">
        <w:rPr>
          <w:sz w:val="36"/>
        </w:rPr>
        <w:t xml:space="preserve"> used for site-specific docking (derived from the native ligand 1LT) </w:t>
      </w:r>
      <w:r w:rsidR="00AA54A7">
        <w:rPr>
          <w:sz w:val="36"/>
        </w:rPr>
        <w:t>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863"/>
      </w:tblGrid>
      <w:tr w:rsidR="00AA54A7" w:rsidRPr="00AA54A7" w14:paraId="3A7D47C2" w14:textId="77777777">
        <w:trPr>
          <w:tblHeader/>
          <w:tblCellSpacing w:w="15" w:type="dxa"/>
        </w:trPr>
        <w:tc>
          <w:tcPr>
            <w:tcW w:w="0" w:type="auto"/>
            <w:vAlign w:val="center"/>
            <w:hideMark/>
          </w:tcPr>
          <w:p w14:paraId="32ED9525" w14:textId="77777777" w:rsidR="00AA54A7" w:rsidRPr="00AA54A7" w:rsidRDefault="00AA54A7" w:rsidP="00AA54A7">
            <w:pPr>
              <w:rPr>
                <w:b/>
                <w:bCs/>
                <w:sz w:val="36"/>
              </w:rPr>
            </w:pPr>
            <w:r w:rsidRPr="00AA54A7">
              <w:rPr>
                <w:b/>
                <w:bCs/>
                <w:sz w:val="36"/>
              </w:rPr>
              <w:t>Parameter</w:t>
            </w:r>
          </w:p>
        </w:tc>
        <w:tc>
          <w:tcPr>
            <w:tcW w:w="0" w:type="auto"/>
            <w:vAlign w:val="center"/>
            <w:hideMark/>
          </w:tcPr>
          <w:p w14:paraId="5F7F877A" w14:textId="77777777" w:rsidR="00AA54A7" w:rsidRPr="00AA54A7" w:rsidRDefault="00AA54A7" w:rsidP="00AA54A7">
            <w:pPr>
              <w:rPr>
                <w:b/>
                <w:bCs/>
                <w:sz w:val="36"/>
              </w:rPr>
            </w:pPr>
            <w:r w:rsidRPr="00AA54A7">
              <w:rPr>
                <w:b/>
                <w:bCs/>
                <w:sz w:val="36"/>
              </w:rPr>
              <w:t>Native binding site</w:t>
            </w:r>
          </w:p>
        </w:tc>
      </w:tr>
      <w:tr w:rsidR="00AA54A7" w:rsidRPr="00AA54A7" w14:paraId="7D855D61" w14:textId="77777777">
        <w:trPr>
          <w:tblCellSpacing w:w="15" w:type="dxa"/>
        </w:trPr>
        <w:tc>
          <w:tcPr>
            <w:tcW w:w="0" w:type="auto"/>
            <w:vAlign w:val="center"/>
            <w:hideMark/>
          </w:tcPr>
          <w:p w14:paraId="7336C1A7" w14:textId="77777777" w:rsidR="00AA54A7" w:rsidRPr="00AA54A7" w:rsidRDefault="00AA54A7" w:rsidP="00AA54A7">
            <w:pPr>
              <w:rPr>
                <w:sz w:val="36"/>
              </w:rPr>
            </w:pPr>
            <w:r w:rsidRPr="00AA54A7">
              <w:rPr>
                <w:sz w:val="36"/>
              </w:rPr>
              <w:t>X</w:t>
            </w:r>
          </w:p>
        </w:tc>
        <w:tc>
          <w:tcPr>
            <w:tcW w:w="0" w:type="auto"/>
            <w:vAlign w:val="center"/>
            <w:hideMark/>
          </w:tcPr>
          <w:p w14:paraId="16B01E41" w14:textId="77777777" w:rsidR="00AA54A7" w:rsidRPr="00AA54A7" w:rsidRDefault="00AA54A7" w:rsidP="00AA54A7">
            <w:pPr>
              <w:rPr>
                <w:sz w:val="36"/>
              </w:rPr>
            </w:pPr>
            <w:r w:rsidRPr="00AA54A7">
              <w:rPr>
                <w:b/>
                <w:bCs/>
                <w:sz w:val="36"/>
              </w:rPr>
              <w:t>-1.319</w:t>
            </w:r>
          </w:p>
        </w:tc>
      </w:tr>
      <w:tr w:rsidR="00AA54A7" w:rsidRPr="00AA54A7" w14:paraId="66D6F7D3" w14:textId="77777777">
        <w:trPr>
          <w:tblCellSpacing w:w="15" w:type="dxa"/>
        </w:trPr>
        <w:tc>
          <w:tcPr>
            <w:tcW w:w="0" w:type="auto"/>
            <w:vAlign w:val="center"/>
            <w:hideMark/>
          </w:tcPr>
          <w:p w14:paraId="005C542B" w14:textId="77777777" w:rsidR="00AA54A7" w:rsidRPr="00AA54A7" w:rsidRDefault="00AA54A7" w:rsidP="00AA54A7">
            <w:pPr>
              <w:rPr>
                <w:sz w:val="36"/>
              </w:rPr>
            </w:pPr>
            <w:r w:rsidRPr="00AA54A7">
              <w:rPr>
                <w:sz w:val="36"/>
              </w:rPr>
              <w:t>Y</w:t>
            </w:r>
          </w:p>
        </w:tc>
        <w:tc>
          <w:tcPr>
            <w:tcW w:w="0" w:type="auto"/>
            <w:vAlign w:val="center"/>
            <w:hideMark/>
          </w:tcPr>
          <w:p w14:paraId="7115A7E5" w14:textId="77777777" w:rsidR="00AA54A7" w:rsidRPr="00AA54A7" w:rsidRDefault="00AA54A7" w:rsidP="00AA54A7">
            <w:pPr>
              <w:rPr>
                <w:sz w:val="36"/>
              </w:rPr>
            </w:pPr>
            <w:r w:rsidRPr="00AA54A7">
              <w:rPr>
                <w:b/>
                <w:bCs/>
                <w:sz w:val="36"/>
              </w:rPr>
              <w:t>-9.513</w:t>
            </w:r>
          </w:p>
        </w:tc>
      </w:tr>
      <w:tr w:rsidR="00AA54A7" w:rsidRPr="00AA54A7" w14:paraId="7C6E6035" w14:textId="77777777">
        <w:trPr>
          <w:tblCellSpacing w:w="15" w:type="dxa"/>
        </w:trPr>
        <w:tc>
          <w:tcPr>
            <w:tcW w:w="0" w:type="auto"/>
            <w:vAlign w:val="center"/>
            <w:hideMark/>
          </w:tcPr>
          <w:p w14:paraId="5FEE36A3" w14:textId="77777777" w:rsidR="00AA54A7" w:rsidRPr="00AA54A7" w:rsidRDefault="00AA54A7" w:rsidP="00AA54A7">
            <w:pPr>
              <w:rPr>
                <w:sz w:val="36"/>
              </w:rPr>
            </w:pPr>
            <w:r w:rsidRPr="00AA54A7">
              <w:rPr>
                <w:sz w:val="36"/>
              </w:rPr>
              <w:t>Z</w:t>
            </w:r>
          </w:p>
        </w:tc>
        <w:tc>
          <w:tcPr>
            <w:tcW w:w="0" w:type="auto"/>
            <w:vAlign w:val="center"/>
            <w:hideMark/>
          </w:tcPr>
          <w:p w14:paraId="50B2F503" w14:textId="77777777" w:rsidR="00AA54A7" w:rsidRPr="00AA54A7" w:rsidRDefault="00AA54A7" w:rsidP="00AA54A7">
            <w:pPr>
              <w:rPr>
                <w:sz w:val="36"/>
              </w:rPr>
            </w:pPr>
            <w:r w:rsidRPr="00AA54A7">
              <w:rPr>
                <w:b/>
                <w:bCs/>
                <w:sz w:val="36"/>
              </w:rPr>
              <w:t>16.948</w:t>
            </w:r>
          </w:p>
        </w:tc>
      </w:tr>
    </w:tbl>
    <w:p w14:paraId="4ADA7108" w14:textId="3CCDC710" w:rsidR="00AA54A7" w:rsidRPr="00895932" w:rsidRDefault="00895932" w:rsidP="00AE1FA2">
      <w:pPr>
        <w:rPr>
          <w:b/>
          <w:bCs/>
          <w:sz w:val="48"/>
        </w:rPr>
      </w:pPr>
      <w:r w:rsidRPr="00895932">
        <w:rPr>
          <w:b/>
          <w:bCs/>
          <w:sz w:val="48"/>
        </w:rPr>
        <w:t>Docking analysis:</w:t>
      </w:r>
    </w:p>
    <w:p w14:paraId="1D0BC731" w14:textId="6291913B" w:rsidR="00DF4959" w:rsidRPr="0002470A" w:rsidRDefault="009B236B" w:rsidP="0002470A">
      <w:pPr>
        <w:rPr>
          <w:bCs/>
          <w:sz w:val="36"/>
        </w:rPr>
      </w:pPr>
      <w:r w:rsidRPr="009B236B">
        <w:rPr>
          <w:bCs/>
          <w:sz w:val="36"/>
        </w:rPr>
        <w:t xml:space="preserve">Molecular docking analysis revealed that Curcumin binds within the binding region of PI3Kα through a combination of hydrogen </w:t>
      </w:r>
      <w:r w:rsidRPr="009B236B">
        <w:rPr>
          <w:bCs/>
          <w:sz w:val="36"/>
        </w:rPr>
        <w:lastRenderedPageBreak/>
        <w:t xml:space="preserve">bonding, hydrophobic interactions, π–anion interactions, π–alkyl interactions, and van der Waals forces. Conventional hydrogen bonds with </w:t>
      </w:r>
      <w:r w:rsidRPr="009B236B">
        <w:rPr>
          <w:b/>
          <w:bCs/>
          <w:sz w:val="36"/>
        </w:rPr>
        <w:t>Lys943</w:t>
      </w:r>
      <w:r w:rsidRPr="009B236B">
        <w:rPr>
          <w:bCs/>
          <w:sz w:val="36"/>
        </w:rPr>
        <w:t xml:space="preserve"> and </w:t>
      </w:r>
      <w:r w:rsidRPr="009B236B">
        <w:rPr>
          <w:b/>
          <w:bCs/>
          <w:sz w:val="36"/>
        </w:rPr>
        <w:t>Gln1014</w:t>
      </w:r>
      <w:r w:rsidRPr="009B236B">
        <w:rPr>
          <w:bCs/>
          <w:sz w:val="36"/>
        </w:rPr>
        <w:t xml:space="preserve"> are expected to contribute significantly to the stability and specificity of binding. Additional stabilization is provided by hydrophobic contacts and van der Waals interactions with neighboring residues. A single unfavorable acceptor–acceptor interaction involving </w:t>
      </w:r>
      <w:r w:rsidRPr="009B236B">
        <w:rPr>
          <w:b/>
          <w:bCs/>
          <w:sz w:val="36"/>
        </w:rPr>
        <w:t>Gln579</w:t>
      </w:r>
      <w:r w:rsidRPr="009B236B">
        <w:rPr>
          <w:bCs/>
          <w:sz w:val="36"/>
        </w:rPr>
        <w:t xml:space="preserve"> was observed, which may slightly weaken the overall binding affinity. Overall, the interaction profile suggests that Curcumin is capable of occupying the binding pocket of PI3Kα, although the docking score of </w:t>
      </w:r>
      <w:r w:rsidRPr="009B236B">
        <w:rPr>
          <w:b/>
          <w:bCs/>
          <w:sz w:val="36"/>
        </w:rPr>
        <w:t>−3.72 kcal/mol</w:t>
      </w:r>
      <w:r w:rsidRPr="009B236B">
        <w:rPr>
          <w:bCs/>
          <w:sz w:val="36"/>
        </w:rPr>
        <w:t xml:space="preserve"> indicates a relatively weak predicted binding affinity compared with potent PI3K </w:t>
      </w:r>
      <w:proofErr w:type="gramStart"/>
      <w:r w:rsidRPr="009B236B">
        <w:rPr>
          <w:bCs/>
          <w:sz w:val="36"/>
        </w:rPr>
        <w:t>inhibitors.</w:t>
      </w:r>
      <w:r w:rsidR="0011244C">
        <w:t>.</w:t>
      </w:r>
      <w:proofErr w:type="gramEnd"/>
    </w:p>
    <w:p w14:paraId="0D95065D" w14:textId="77777777" w:rsidR="00DF4959" w:rsidRPr="00DF4959" w:rsidRDefault="00DF4959" w:rsidP="00DF4959">
      <w:pPr>
        <w:rPr>
          <w:b/>
          <w:bCs/>
          <w:sz w:val="36"/>
        </w:rPr>
      </w:pPr>
      <w:r w:rsidRPr="00DF4959">
        <w:rPr>
          <w:b/>
          <w:bCs/>
          <w:sz w:val="36"/>
        </w:rPr>
        <w:t>What can be interpreted from this 3D image?</w:t>
      </w:r>
    </w:p>
    <w:p w14:paraId="2921DB14" w14:textId="77777777" w:rsidR="00DF4959" w:rsidRPr="00DF4959" w:rsidRDefault="00DF4959" w:rsidP="00DF4959">
      <w:pPr>
        <w:numPr>
          <w:ilvl w:val="0"/>
          <w:numId w:val="16"/>
        </w:numPr>
        <w:rPr>
          <w:bCs/>
          <w:sz w:val="36"/>
        </w:rPr>
      </w:pPr>
      <w:r w:rsidRPr="00DF4959">
        <w:rPr>
          <w:b/>
          <w:bCs/>
          <w:sz w:val="36"/>
        </w:rPr>
        <w:t>Curcumin is located within a cavity of the protein</w:t>
      </w:r>
      <w:r w:rsidRPr="00DF4959">
        <w:rPr>
          <w:bCs/>
          <w:sz w:val="36"/>
        </w:rPr>
        <w:t xml:space="preserve">, not floating away from the receptor. </w:t>
      </w:r>
    </w:p>
    <w:p w14:paraId="12DE5813" w14:textId="77777777" w:rsidR="00DF4959" w:rsidRPr="00DF4959" w:rsidRDefault="00DF4959" w:rsidP="00DF4959">
      <w:pPr>
        <w:numPr>
          <w:ilvl w:val="1"/>
          <w:numId w:val="16"/>
        </w:numPr>
        <w:rPr>
          <w:bCs/>
          <w:sz w:val="36"/>
        </w:rPr>
      </w:pPr>
      <w:r w:rsidRPr="00DF4959">
        <w:rPr>
          <w:bCs/>
          <w:sz w:val="36"/>
        </w:rPr>
        <w:t xml:space="preserve">It appears to be </w:t>
      </w:r>
      <w:r w:rsidRPr="00DF4959">
        <w:rPr>
          <w:b/>
          <w:bCs/>
          <w:sz w:val="36"/>
        </w:rPr>
        <w:t>partially buried</w:t>
      </w:r>
      <w:r w:rsidRPr="00DF4959">
        <w:rPr>
          <w:bCs/>
          <w:sz w:val="36"/>
        </w:rPr>
        <w:t xml:space="preserve"> inside the protein structure. </w:t>
      </w:r>
    </w:p>
    <w:p w14:paraId="76E58127" w14:textId="77777777" w:rsidR="00DF4959" w:rsidRPr="00DF4959" w:rsidRDefault="00DF4959" w:rsidP="00DF4959">
      <w:pPr>
        <w:numPr>
          <w:ilvl w:val="1"/>
          <w:numId w:val="16"/>
        </w:numPr>
        <w:rPr>
          <w:bCs/>
          <w:sz w:val="36"/>
        </w:rPr>
      </w:pPr>
      <w:r w:rsidRPr="00DF4959">
        <w:rPr>
          <w:bCs/>
          <w:sz w:val="36"/>
        </w:rPr>
        <w:t xml:space="preserve">This indicates that </w:t>
      </w:r>
      <w:proofErr w:type="spellStart"/>
      <w:r w:rsidRPr="00DF4959">
        <w:rPr>
          <w:bCs/>
          <w:sz w:val="36"/>
        </w:rPr>
        <w:t>AutoDock</w:t>
      </w:r>
      <w:proofErr w:type="spellEnd"/>
      <w:r w:rsidRPr="00DF4959">
        <w:rPr>
          <w:bCs/>
          <w:sz w:val="36"/>
        </w:rPr>
        <w:t xml:space="preserve"> predicted a binding site rather than placing the ligand completely on the external surface. </w:t>
      </w:r>
    </w:p>
    <w:p w14:paraId="5D98B478" w14:textId="77777777" w:rsidR="00DF4959" w:rsidRPr="00DF4959" w:rsidRDefault="00DF4959" w:rsidP="00DF4959">
      <w:pPr>
        <w:numPr>
          <w:ilvl w:val="0"/>
          <w:numId w:val="16"/>
        </w:numPr>
        <w:rPr>
          <w:bCs/>
          <w:sz w:val="36"/>
        </w:rPr>
      </w:pPr>
      <w:r w:rsidRPr="00DF4959">
        <w:rPr>
          <w:b/>
          <w:bCs/>
          <w:sz w:val="36"/>
        </w:rPr>
        <w:t>The ligand adopts an elongated conformation.</w:t>
      </w:r>
      <w:r w:rsidRPr="00DF4959">
        <w:rPr>
          <w:bCs/>
          <w:sz w:val="36"/>
        </w:rPr>
        <w:t xml:space="preserve"> </w:t>
      </w:r>
    </w:p>
    <w:p w14:paraId="465050CF" w14:textId="77777777" w:rsidR="00DF4959" w:rsidRPr="00DF4959" w:rsidRDefault="00DF4959" w:rsidP="00DF4959">
      <w:pPr>
        <w:numPr>
          <w:ilvl w:val="1"/>
          <w:numId w:val="16"/>
        </w:numPr>
        <w:rPr>
          <w:bCs/>
          <w:sz w:val="36"/>
        </w:rPr>
      </w:pPr>
      <w:r w:rsidRPr="00DF4959">
        <w:rPr>
          <w:bCs/>
          <w:sz w:val="36"/>
        </w:rPr>
        <w:lastRenderedPageBreak/>
        <w:t xml:space="preserve">Curcumin's long structure fits along the shape of the binding region. </w:t>
      </w:r>
    </w:p>
    <w:p w14:paraId="123900A6" w14:textId="77777777" w:rsidR="00DF4959" w:rsidRPr="00DF4959" w:rsidRDefault="00DF4959" w:rsidP="00DF4959">
      <w:pPr>
        <w:numPr>
          <w:ilvl w:val="1"/>
          <w:numId w:val="16"/>
        </w:numPr>
        <w:rPr>
          <w:bCs/>
          <w:sz w:val="36"/>
        </w:rPr>
      </w:pPr>
      <w:r w:rsidRPr="00DF4959">
        <w:rPr>
          <w:bCs/>
          <w:sz w:val="36"/>
        </w:rPr>
        <w:t xml:space="preserve">This orientation allows both aromatic rings and the central linker to interact with surrounding amino acid residues. </w:t>
      </w:r>
    </w:p>
    <w:p w14:paraId="2FDAA5EA" w14:textId="77777777" w:rsidR="00DF4959" w:rsidRPr="00DF4959" w:rsidRDefault="00DF4959" w:rsidP="00DF4959">
      <w:pPr>
        <w:numPr>
          <w:ilvl w:val="0"/>
          <w:numId w:val="16"/>
        </w:numPr>
        <w:rPr>
          <w:bCs/>
          <w:sz w:val="36"/>
        </w:rPr>
      </w:pPr>
      <w:r w:rsidRPr="00DF4959">
        <w:rPr>
          <w:b/>
          <w:bCs/>
          <w:sz w:val="36"/>
        </w:rPr>
        <w:t>The ligand is surrounded by protein secondary structures.</w:t>
      </w:r>
      <w:r w:rsidRPr="00DF4959">
        <w:rPr>
          <w:bCs/>
          <w:sz w:val="36"/>
        </w:rPr>
        <w:t xml:space="preserve"> </w:t>
      </w:r>
    </w:p>
    <w:p w14:paraId="3803592B" w14:textId="6017CFDC" w:rsidR="0002470A" w:rsidRDefault="00DF4959" w:rsidP="0002470A">
      <w:pPr>
        <w:numPr>
          <w:ilvl w:val="1"/>
          <w:numId w:val="16"/>
        </w:numPr>
        <w:rPr>
          <w:bCs/>
          <w:sz w:val="36"/>
        </w:rPr>
      </w:pPr>
      <w:r w:rsidRPr="00DF4959">
        <w:rPr>
          <w:bCs/>
          <w:sz w:val="36"/>
        </w:rPr>
        <w:t xml:space="preserve">The ligand is positioned near several </w:t>
      </w:r>
      <w:r w:rsidRPr="00DF4959">
        <w:rPr>
          <w:b/>
          <w:bCs/>
          <w:sz w:val="36"/>
        </w:rPr>
        <w:t>α-helices (red)</w:t>
      </w:r>
      <w:r w:rsidRPr="00DF4959">
        <w:rPr>
          <w:bCs/>
          <w:sz w:val="36"/>
        </w:rPr>
        <w:t xml:space="preserve"> and </w:t>
      </w:r>
      <w:r w:rsidRPr="00DF4959">
        <w:rPr>
          <w:b/>
          <w:bCs/>
          <w:sz w:val="36"/>
        </w:rPr>
        <w:t>loops (white)</w:t>
      </w:r>
      <w:r w:rsidRPr="00DF4959">
        <w:rPr>
          <w:bCs/>
          <w:sz w:val="36"/>
        </w:rPr>
        <w:t>, suggesting it is enclosed by the protein rather than being solvent-exposed.</w:t>
      </w:r>
    </w:p>
    <w:p w14:paraId="4216DEF5" w14:textId="77777777" w:rsidR="0083107D" w:rsidRPr="0083107D" w:rsidRDefault="0083107D" w:rsidP="0083107D">
      <w:pPr>
        <w:rPr>
          <w:bCs/>
          <w:sz w:val="36"/>
        </w:rPr>
      </w:pPr>
    </w:p>
    <w:p w14:paraId="49325804" w14:textId="1DFAE7A9" w:rsidR="00DF4959" w:rsidRDefault="0002470A" w:rsidP="00AE1FA2">
      <w:pPr>
        <w:rPr>
          <w:b/>
          <w:sz w:val="48"/>
        </w:rPr>
      </w:pPr>
      <w:r w:rsidRPr="0002470A">
        <w:rPr>
          <w:b/>
          <w:sz w:val="48"/>
        </w:rPr>
        <w:t xml:space="preserve">Docking with </w:t>
      </w:r>
      <w:proofErr w:type="spellStart"/>
      <w:r w:rsidR="00895932">
        <w:rPr>
          <w:b/>
          <w:sz w:val="48"/>
        </w:rPr>
        <w:t>D</w:t>
      </w:r>
      <w:r w:rsidRPr="0002470A">
        <w:rPr>
          <w:b/>
          <w:sz w:val="48"/>
        </w:rPr>
        <w:t>imethoxycurcumin</w:t>
      </w:r>
      <w:proofErr w:type="spellEnd"/>
      <w:r>
        <w:rPr>
          <w:b/>
          <w:sz w:val="48"/>
        </w:rPr>
        <w:t>:</w:t>
      </w:r>
    </w:p>
    <w:p w14:paraId="4425B96A" w14:textId="414691D1" w:rsidR="00895932" w:rsidRPr="00895932" w:rsidRDefault="00895932" w:rsidP="00895932">
      <w:pPr>
        <w:rPr>
          <w:bCs/>
          <w:sz w:val="36"/>
        </w:rPr>
      </w:pPr>
      <w:proofErr w:type="spellStart"/>
      <w:r>
        <w:rPr>
          <w:b/>
          <w:bCs/>
          <w:sz w:val="36"/>
        </w:rPr>
        <w:t>Di</w:t>
      </w:r>
      <w:r w:rsidRPr="00895932">
        <w:rPr>
          <w:b/>
          <w:bCs/>
          <w:sz w:val="36"/>
        </w:rPr>
        <w:t>methoxycurcumin</w:t>
      </w:r>
      <w:proofErr w:type="spellEnd"/>
      <w:r w:rsidRPr="00895932">
        <w:rPr>
          <w:bCs/>
          <w:sz w:val="36"/>
        </w:rPr>
        <w:t>, keep everything identical to</w:t>
      </w:r>
      <w:r>
        <w:rPr>
          <w:bCs/>
          <w:sz w:val="36"/>
        </w:rPr>
        <w:t xml:space="preserve"> the</w:t>
      </w:r>
      <w:r w:rsidRPr="00895932">
        <w:rPr>
          <w:bCs/>
          <w:sz w:val="36"/>
        </w:rPr>
        <w:t xml:space="preserve"> previous dockings:</w:t>
      </w:r>
    </w:p>
    <w:p w14:paraId="76470008" w14:textId="77777777" w:rsidR="00895932" w:rsidRPr="00895932" w:rsidRDefault="00895932" w:rsidP="00895932">
      <w:pPr>
        <w:numPr>
          <w:ilvl w:val="0"/>
          <w:numId w:val="20"/>
        </w:numPr>
        <w:rPr>
          <w:bCs/>
          <w:sz w:val="36"/>
        </w:rPr>
      </w:pPr>
      <w:r w:rsidRPr="00895932">
        <w:rPr>
          <w:rFonts w:ascii="Segoe UI Emoji" w:hAnsi="Segoe UI Emoji" w:cs="Segoe UI Emoji"/>
          <w:bCs/>
          <w:sz w:val="36"/>
        </w:rPr>
        <w:t>✅</w:t>
      </w:r>
      <w:r w:rsidRPr="00895932">
        <w:rPr>
          <w:bCs/>
          <w:sz w:val="36"/>
        </w:rPr>
        <w:t xml:space="preserve"> Receptor: 4JPS </w:t>
      </w:r>
    </w:p>
    <w:p w14:paraId="1CD91BA9" w14:textId="77777777" w:rsidR="00895932" w:rsidRPr="00895932" w:rsidRDefault="00895932" w:rsidP="00895932">
      <w:pPr>
        <w:numPr>
          <w:ilvl w:val="0"/>
          <w:numId w:val="20"/>
        </w:numPr>
        <w:rPr>
          <w:bCs/>
          <w:sz w:val="36"/>
        </w:rPr>
      </w:pPr>
      <w:r w:rsidRPr="00895932">
        <w:rPr>
          <w:rFonts w:ascii="Segoe UI Emoji" w:hAnsi="Segoe UI Emoji" w:cs="Segoe UI Emoji"/>
          <w:bCs/>
          <w:sz w:val="36"/>
        </w:rPr>
        <w:t>✅</w:t>
      </w:r>
      <w:r w:rsidRPr="00895932">
        <w:rPr>
          <w:bCs/>
          <w:sz w:val="36"/>
        </w:rPr>
        <w:t xml:space="preserve"> Grid center: (-1.319, -9.513, 16.948) </w:t>
      </w:r>
    </w:p>
    <w:p w14:paraId="5006D379" w14:textId="77777777" w:rsidR="00895932" w:rsidRDefault="00895932" w:rsidP="00895932">
      <w:pPr>
        <w:numPr>
          <w:ilvl w:val="0"/>
          <w:numId w:val="20"/>
        </w:numPr>
        <w:rPr>
          <w:bCs/>
          <w:sz w:val="36"/>
        </w:rPr>
      </w:pPr>
      <w:r w:rsidRPr="00895932">
        <w:rPr>
          <w:rFonts w:ascii="Segoe UI Emoji" w:hAnsi="Segoe UI Emoji" w:cs="Segoe UI Emoji"/>
          <w:bCs/>
          <w:sz w:val="36"/>
        </w:rPr>
        <w:t>✅</w:t>
      </w:r>
      <w:r w:rsidRPr="00895932">
        <w:rPr>
          <w:bCs/>
          <w:sz w:val="36"/>
        </w:rPr>
        <w:t xml:space="preserve"> Grid size: 40 × 40 × 40</w:t>
      </w:r>
    </w:p>
    <w:p w14:paraId="34AABB70" w14:textId="73A1534E" w:rsidR="00CE04B2" w:rsidRPr="00895932" w:rsidRDefault="00CE04B2" w:rsidP="00CE04B2">
      <w:pPr>
        <w:rPr>
          <w:b/>
          <w:sz w:val="48"/>
        </w:rPr>
      </w:pPr>
      <w:r w:rsidRPr="00CE04B2">
        <w:rPr>
          <w:b/>
          <w:sz w:val="48"/>
        </w:rPr>
        <w:t>The docking analysis:</w:t>
      </w:r>
    </w:p>
    <w:p w14:paraId="1CB3380C" w14:textId="48B0D957" w:rsidR="00F56DF2" w:rsidRDefault="00F56DF2" w:rsidP="00AE1FA2">
      <w:pPr>
        <w:rPr>
          <w:bCs/>
          <w:sz w:val="36"/>
        </w:rPr>
      </w:pPr>
      <w:proofErr w:type="spellStart"/>
      <w:r w:rsidRPr="00F56DF2">
        <w:rPr>
          <w:bCs/>
          <w:sz w:val="36"/>
        </w:rPr>
        <w:t>Demethoxycurcumin</w:t>
      </w:r>
      <w:proofErr w:type="spellEnd"/>
      <w:r w:rsidRPr="00F56DF2">
        <w:rPr>
          <w:bCs/>
          <w:sz w:val="36"/>
        </w:rPr>
        <w:t xml:space="preserve"> was successfully docked into the active site of the PI3Kα (4JPS) protein using </w:t>
      </w:r>
      <w:proofErr w:type="spellStart"/>
      <w:r w:rsidRPr="00F56DF2">
        <w:rPr>
          <w:bCs/>
          <w:sz w:val="36"/>
        </w:rPr>
        <w:t>AutoDock</w:t>
      </w:r>
      <w:proofErr w:type="spellEnd"/>
      <w:r w:rsidRPr="00F56DF2">
        <w:rPr>
          <w:bCs/>
          <w:sz w:val="36"/>
        </w:rPr>
        <w:t xml:space="preserve"> 4. The best docking pose showed a binding affinity of </w:t>
      </w:r>
      <w:r w:rsidRPr="00F56DF2">
        <w:rPr>
          <w:b/>
          <w:bCs/>
          <w:sz w:val="36"/>
        </w:rPr>
        <w:t>−6.22 kcal/</w:t>
      </w:r>
      <w:proofErr w:type="spellStart"/>
      <w:proofErr w:type="gramStart"/>
      <w:r w:rsidRPr="00F56DF2">
        <w:rPr>
          <w:b/>
          <w:bCs/>
          <w:sz w:val="36"/>
        </w:rPr>
        <w:t>mol</w:t>
      </w:r>
      <w:r w:rsidRPr="00F56DF2">
        <w:rPr>
          <w:bCs/>
          <w:sz w:val="36"/>
        </w:rPr>
        <w:t>,</w:t>
      </w:r>
      <w:r w:rsidR="00CE04B2">
        <w:rPr>
          <w:bCs/>
          <w:sz w:val="36"/>
        </w:rPr>
        <w:t>from</w:t>
      </w:r>
      <w:proofErr w:type="spellEnd"/>
      <w:proofErr w:type="gramEnd"/>
      <w:r w:rsidR="00CE04B2">
        <w:rPr>
          <w:bCs/>
          <w:sz w:val="36"/>
        </w:rPr>
        <w:t xml:space="preserve"> the DLG file,</w:t>
      </w:r>
      <w:r w:rsidRPr="00F56DF2">
        <w:rPr>
          <w:bCs/>
          <w:sz w:val="36"/>
        </w:rPr>
        <w:t xml:space="preserve"> indicating favorable interaction with the receptor. </w:t>
      </w:r>
      <w:r w:rsidRPr="00F56DF2">
        <w:rPr>
          <w:bCs/>
          <w:sz w:val="36"/>
        </w:rPr>
        <w:lastRenderedPageBreak/>
        <w:t xml:space="preserve">The selected pose (Cluster 1, Conformation 1) occupied the predefined binding pocket, suggesting that </w:t>
      </w:r>
      <w:proofErr w:type="spellStart"/>
      <w:r w:rsidR="00CE04B2">
        <w:rPr>
          <w:bCs/>
          <w:sz w:val="36"/>
        </w:rPr>
        <w:t>d</w:t>
      </w:r>
      <w:r w:rsidRPr="00F56DF2">
        <w:rPr>
          <w:bCs/>
          <w:sz w:val="36"/>
        </w:rPr>
        <w:t>emethoxycurcumin</w:t>
      </w:r>
      <w:proofErr w:type="spellEnd"/>
      <w:r w:rsidRPr="00F56DF2">
        <w:rPr>
          <w:bCs/>
          <w:sz w:val="36"/>
        </w:rPr>
        <w:t xml:space="preserve"> binds at the active site of PI3Kα and may exhibit inhibitory potential comparable to other curcuminoids.</w:t>
      </w:r>
    </w:p>
    <w:p w14:paraId="27667F9C" w14:textId="38793F26" w:rsidR="00CE04B2" w:rsidRDefault="00CE04B2" w:rsidP="00AE1FA2">
      <w:pPr>
        <w:rPr>
          <w:b/>
          <w:sz w:val="48"/>
        </w:rPr>
      </w:pPr>
      <w:r>
        <w:rPr>
          <w:b/>
          <w:sz w:val="48"/>
        </w:rPr>
        <w:t>The interacting residues</w:t>
      </w:r>
      <w:r w:rsidR="00501712">
        <w:rPr>
          <w:b/>
          <w:sz w:val="48"/>
        </w:rPr>
        <w:t>:</w:t>
      </w:r>
    </w:p>
    <w:p w14:paraId="0AEF1C00" w14:textId="77777777" w:rsidR="00501712" w:rsidRPr="00501712" w:rsidRDefault="00501712" w:rsidP="00AE1FA2">
      <w:pPr>
        <w:rPr>
          <w:b/>
          <w:sz w:val="48"/>
        </w:rPr>
      </w:pPr>
    </w:p>
    <w:p w14:paraId="47768D11" w14:textId="6530B7F1" w:rsidR="00B1140B" w:rsidRPr="00AA54A7" w:rsidRDefault="00B1140B" w:rsidP="00AE1FA2">
      <w:pPr>
        <w:rPr>
          <w:bCs/>
          <w:sz w:val="36"/>
        </w:rPr>
      </w:pPr>
      <w:r w:rsidRPr="00AA54A7">
        <w:rPr>
          <w:bCs/>
          <w:sz w:val="36"/>
        </w:rPr>
        <w:t xml:space="preserve">The </w:t>
      </w:r>
      <w:r w:rsidR="00AA54A7" w:rsidRPr="00AA54A7">
        <w:rPr>
          <w:bCs/>
          <w:sz w:val="36"/>
        </w:rPr>
        <w:t>Key interacting residues include TRP A:700, GLN A:959, HIS A:955, VAL A:850, VAL A:853, ARG A:852, ASN A:853, SER A:854, MET A:922, PHE A:930, ASP A:933, ILE A:800, ILE A:932, ILE A:848, LYS A:802, and ARG A:770.</w:t>
      </w:r>
    </w:p>
    <w:p w14:paraId="478F307D" w14:textId="77777777" w:rsidR="00B1140B" w:rsidRDefault="00B1140B" w:rsidP="00B1140B">
      <w:pPr>
        <w:keepNext/>
      </w:pPr>
      <w:r>
        <w:rPr>
          <w:b/>
          <w:noProof/>
          <w:sz w:val="48"/>
        </w:rPr>
        <w:drawing>
          <wp:inline distT="0" distB="0" distL="0" distR="0" wp14:anchorId="61AF0C32" wp14:editId="58D42A3B">
            <wp:extent cx="5943600" cy="3011170"/>
            <wp:effectExtent l="0" t="0" r="0" b="0"/>
            <wp:docPr id="1620373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3153" name="Picture 1620373153"/>
                    <pic:cNvPicPr/>
                  </pic:nvPicPr>
                  <pic:blipFill>
                    <a:blip r:embed="rId29">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229E10DE" w14:textId="271F372C" w:rsidR="0002470A" w:rsidRDefault="00B1140B" w:rsidP="00B1140B">
      <w:pPr>
        <w:pStyle w:val="Caption"/>
      </w:pPr>
      <w:r>
        <w:t xml:space="preserve">Figure </w:t>
      </w:r>
      <w:r>
        <w:fldChar w:fldCharType="begin"/>
      </w:r>
      <w:r>
        <w:instrText xml:space="preserve"> SEQ Figure \* ARABIC </w:instrText>
      </w:r>
      <w:r>
        <w:fldChar w:fldCharType="separate"/>
      </w:r>
      <w:r w:rsidR="002016F0">
        <w:rPr>
          <w:noProof/>
        </w:rPr>
        <w:t>10</w:t>
      </w:r>
      <w:r>
        <w:fldChar w:fldCharType="end"/>
      </w:r>
      <w:r>
        <w:t xml:space="preserve">   </w:t>
      </w:r>
      <w:r w:rsidRPr="00B1140B">
        <w:t xml:space="preserve">Molecular docking interactions between </w:t>
      </w:r>
      <w:proofErr w:type="spellStart"/>
      <w:r w:rsidRPr="00B1140B">
        <w:t>demethoxycurcumin</w:t>
      </w:r>
      <w:proofErr w:type="spellEnd"/>
      <w:r w:rsidRPr="00B1140B">
        <w:t xml:space="preserve"> and the receptor, visualized in Discovery Studio Visualizer. </w:t>
      </w:r>
      <w:r w:rsidRPr="00B1140B">
        <w:rPr>
          <w:b/>
          <w:bCs/>
        </w:rPr>
        <w:t>(Left)</w:t>
      </w:r>
      <w:r w:rsidRPr="00B1140B">
        <w:t xml:space="preserve"> Overall 3D representation of the receptor-ligand complex, showing the protein secondary structure (α-helices in red, β-sheets in cyan, loops in gray/white) with the docked ligand bound within the binding pocket. </w:t>
      </w:r>
      <w:r w:rsidRPr="00B1140B">
        <w:rPr>
          <w:b/>
          <w:bCs/>
        </w:rPr>
        <w:t>(Right)</w:t>
      </w:r>
      <w:r w:rsidRPr="00B1140B">
        <w:t xml:space="preserve"> 2D interaction diagram depicting the residues within the ligand-binding site and their corresponding non-bonded interactions, including van der Waals contacts (light green), conventional hydrogen bonds (dark green), Pi-Pi T-shaped interactions (magenta), and Pi-Alkyl interactions (pink)</w:t>
      </w:r>
    </w:p>
    <w:p w14:paraId="1C1131A4" w14:textId="5377F3E8" w:rsidR="00AA54A7" w:rsidRDefault="00AA54A7" w:rsidP="00B1140B">
      <w:pPr>
        <w:rPr>
          <w:b/>
          <w:sz w:val="48"/>
        </w:rPr>
      </w:pPr>
      <w:r w:rsidRPr="00AA54A7">
        <w:rPr>
          <w:b/>
          <w:sz w:val="48"/>
        </w:rPr>
        <w:lastRenderedPageBreak/>
        <w:t xml:space="preserve">Docking with </w:t>
      </w:r>
      <w:proofErr w:type="spellStart"/>
      <w:r w:rsidR="00895932">
        <w:rPr>
          <w:b/>
          <w:sz w:val="48"/>
        </w:rPr>
        <w:t>B</w:t>
      </w:r>
      <w:r w:rsidRPr="00AA54A7">
        <w:rPr>
          <w:b/>
          <w:sz w:val="48"/>
        </w:rPr>
        <w:t>isd</w:t>
      </w:r>
      <w:r w:rsidR="00CE04B2">
        <w:rPr>
          <w:b/>
          <w:sz w:val="48"/>
        </w:rPr>
        <w:t>i</w:t>
      </w:r>
      <w:r w:rsidRPr="00AA54A7">
        <w:rPr>
          <w:b/>
          <w:sz w:val="48"/>
        </w:rPr>
        <w:t>methoxycurcumin</w:t>
      </w:r>
      <w:proofErr w:type="spellEnd"/>
      <w:r>
        <w:rPr>
          <w:b/>
          <w:sz w:val="48"/>
        </w:rPr>
        <w:t>:</w:t>
      </w:r>
    </w:p>
    <w:p w14:paraId="508CC22D" w14:textId="4B9B528A" w:rsidR="00F56DF2" w:rsidRPr="00F56DF2" w:rsidRDefault="00F56DF2" w:rsidP="00B1140B">
      <w:pPr>
        <w:rPr>
          <w:bCs/>
          <w:sz w:val="36"/>
        </w:rPr>
      </w:pPr>
      <w:r w:rsidRPr="00F56DF2">
        <w:rPr>
          <w:bCs/>
          <w:sz w:val="36"/>
        </w:rPr>
        <w:t>The interaction profile suggests that Bisdemethoxycurcumin occupies the predefined active site of PI3Kα (4JPS) and is stabilized through a combination of hydrogen bonding, hydrophobic interactions, and van der Waals contacts. The presence of a conventional hydrogen bond together with multiple hydrophobic interactions indicates favorable ligand–protein binding, supporting the potential of Bisdemethoxycurcumin as a candidate inhibitor for PI3Kα</w:t>
      </w:r>
    </w:p>
    <w:p w14:paraId="7BF3D5D4" w14:textId="70736C8C" w:rsidR="00895932" w:rsidRPr="00895932" w:rsidRDefault="00895932" w:rsidP="00895932">
      <w:pPr>
        <w:rPr>
          <w:bCs/>
          <w:sz w:val="36"/>
        </w:rPr>
      </w:pPr>
      <w:r w:rsidRPr="00895932">
        <w:rPr>
          <w:b/>
          <w:bCs/>
          <w:sz w:val="36"/>
        </w:rPr>
        <w:t>Bisdemethoxycurcumin</w:t>
      </w:r>
      <w:r w:rsidRPr="00895932">
        <w:rPr>
          <w:bCs/>
          <w:sz w:val="36"/>
        </w:rPr>
        <w:t xml:space="preserve">, keep everything identical to </w:t>
      </w:r>
      <w:r>
        <w:rPr>
          <w:bCs/>
          <w:sz w:val="36"/>
        </w:rPr>
        <w:t>the</w:t>
      </w:r>
      <w:r w:rsidRPr="00895932">
        <w:rPr>
          <w:bCs/>
          <w:sz w:val="36"/>
        </w:rPr>
        <w:t xml:space="preserve"> previous dockings:</w:t>
      </w:r>
    </w:p>
    <w:p w14:paraId="545F1908" w14:textId="77777777" w:rsidR="00895932" w:rsidRPr="00895932" w:rsidRDefault="00895932" w:rsidP="00895932">
      <w:pPr>
        <w:numPr>
          <w:ilvl w:val="0"/>
          <w:numId w:val="21"/>
        </w:numPr>
        <w:rPr>
          <w:bCs/>
          <w:sz w:val="36"/>
        </w:rPr>
      </w:pPr>
      <w:r w:rsidRPr="00895932">
        <w:rPr>
          <w:rFonts w:ascii="Segoe UI Emoji" w:hAnsi="Segoe UI Emoji" w:cs="Segoe UI Emoji"/>
          <w:bCs/>
          <w:sz w:val="36"/>
        </w:rPr>
        <w:t>✅</w:t>
      </w:r>
      <w:r w:rsidRPr="00895932">
        <w:rPr>
          <w:bCs/>
          <w:sz w:val="36"/>
        </w:rPr>
        <w:t xml:space="preserve"> Receptor: 4JPS </w:t>
      </w:r>
    </w:p>
    <w:p w14:paraId="5F501ADA" w14:textId="77777777" w:rsidR="00895932" w:rsidRPr="00895932" w:rsidRDefault="00895932" w:rsidP="00895932">
      <w:pPr>
        <w:numPr>
          <w:ilvl w:val="0"/>
          <w:numId w:val="21"/>
        </w:numPr>
        <w:rPr>
          <w:bCs/>
          <w:sz w:val="36"/>
        </w:rPr>
      </w:pPr>
      <w:r w:rsidRPr="00895932">
        <w:rPr>
          <w:rFonts w:ascii="Segoe UI Emoji" w:hAnsi="Segoe UI Emoji" w:cs="Segoe UI Emoji"/>
          <w:bCs/>
          <w:sz w:val="36"/>
        </w:rPr>
        <w:t>✅</w:t>
      </w:r>
      <w:r w:rsidRPr="00895932">
        <w:rPr>
          <w:bCs/>
          <w:sz w:val="36"/>
        </w:rPr>
        <w:t xml:space="preserve"> Grid center: (-1.319, -9.513, 16.948) </w:t>
      </w:r>
    </w:p>
    <w:p w14:paraId="1F22F9F5" w14:textId="77777777" w:rsidR="00895932" w:rsidRDefault="00895932" w:rsidP="00895932">
      <w:pPr>
        <w:numPr>
          <w:ilvl w:val="0"/>
          <w:numId w:val="21"/>
        </w:numPr>
        <w:rPr>
          <w:bCs/>
          <w:sz w:val="36"/>
        </w:rPr>
      </w:pPr>
      <w:r w:rsidRPr="00895932">
        <w:rPr>
          <w:rFonts w:ascii="Segoe UI Emoji" w:hAnsi="Segoe UI Emoji" w:cs="Segoe UI Emoji"/>
          <w:bCs/>
          <w:sz w:val="36"/>
        </w:rPr>
        <w:t>✅</w:t>
      </w:r>
      <w:r w:rsidRPr="00895932">
        <w:rPr>
          <w:bCs/>
          <w:sz w:val="36"/>
        </w:rPr>
        <w:t xml:space="preserve"> Grid size: 40 × 40 × 40</w:t>
      </w:r>
    </w:p>
    <w:p w14:paraId="4AEFD71E" w14:textId="04CA9763" w:rsidR="00CE04B2" w:rsidRPr="00895932" w:rsidRDefault="00CE04B2" w:rsidP="00CE04B2">
      <w:pPr>
        <w:rPr>
          <w:b/>
          <w:sz w:val="48"/>
        </w:rPr>
      </w:pPr>
      <w:r>
        <w:rPr>
          <w:b/>
          <w:sz w:val="48"/>
        </w:rPr>
        <w:t xml:space="preserve">Docking </w:t>
      </w:r>
      <w:proofErr w:type="gramStart"/>
      <w:r>
        <w:rPr>
          <w:b/>
          <w:sz w:val="48"/>
        </w:rPr>
        <w:t>analysis :</w:t>
      </w:r>
      <w:proofErr w:type="gramEnd"/>
    </w:p>
    <w:p w14:paraId="4E63FD1A" w14:textId="2130D666" w:rsidR="00CE04B2" w:rsidRDefault="00CE04B2" w:rsidP="00B1140B">
      <w:pPr>
        <w:rPr>
          <w:bCs/>
          <w:sz w:val="36"/>
        </w:rPr>
      </w:pPr>
      <w:r w:rsidRPr="00CE04B2">
        <w:rPr>
          <w:bCs/>
          <w:sz w:val="36"/>
        </w:rPr>
        <w:t xml:space="preserve">The molecular docking results demonstrated that </w:t>
      </w:r>
      <w:r w:rsidRPr="00CE04B2">
        <w:rPr>
          <w:b/>
          <w:bCs/>
          <w:sz w:val="36"/>
        </w:rPr>
        <w:t>Bisdemethoxycurcumin</w:t>
      </w:r>
      <w:r w:rsidRPr="00CE04B2">
        <w:rPr>
          <w:bCs/>
          <w:sz w:val="36"/>
        </w:rPr>
        <w:t xml:space="preserve"> binds effectively within the active site of the </w:t>
      </w:r>
      <w:r w:rsidRPr="00CE04B2">
        <w:rPr>
          <w:b/>
          <w:bCs/>
          <w:sz w:val="36"/>
        </w:rPr>
        <w:t>PI3Kα (4JPS)</w:t>
      </w:r>
      <w:r w:rsidRPr="00CE04B2">
        <w:rPr>
          <w:bCs/>
          <w:sz w:val="36"/>
        </w:rPr>
        <w:t xml:space="preserve"> receptor, with a </w:t>
      </w:r>
      <w:r w:rsidRPr="00CE04B2">
        <w:rPr>
          <w:b/>
          <w:bCs/>
          <w:sz w:val="36"/>
        </w:rPr>
        <w:t>lowest binding energy of −6.11 kcal/mol</w:t>
      </w:r>
      <w:r w:rsidRPr="00CE04B2">
        <w:rPr>
          <w:bCs/>
          <w:sz w:val="36"/>
        </w:rPr>
        <w:t xml:space="preserve">, indicating favorable binding affinity and a stable protein–ligand complex. The interaction was stabilized by a conventional hydrogen bond, π–sigma, π–alkyl, π–sulfur, and multiple van der Waals interactions involving key active-site </w:t>
      </w:r>
      <w:r w:rsidRPr="00CE04B2">
        <w:rPr>
          <w:bCs/>
          <w:sz w:val="36"/>
        </w:rPr>
        <w:lastRenderedPageBreak/>
        <w:t xml:space="preserve">residues. The observed binding pattern confirms that Bisdemethoxycurcumin occupies the same catalytic binding pocket targeted during site-specific docking and suggests its potential as a promising natural PI3Kα inhibitor. When considered alongside Curcumin and </w:t>
      </w:r>
      <w:proofErr w:type="spellStart"/>
      <w:r w:rsidRPr="00CE04B2">
        <w:rPr>
          <w:bCs/>
          <w:sz w:val="36"/>
        </w:rPr>
        <w:t>Demethoxycurcumin</w:t>
      </w:r>
      <w:proofErr w:type="spellEnd"/>
      <w:r w:rsidRPr="00CE04B2">
        <w:rPr>
          <w:bCs/>
          <w:sz w:val="36"/>
        </w:rPr>
        <w:t>, these results support the therapeutic potential of turmeric-derived curcuminoids for the inhibition of PI3Kα in hepatocellular carcinoma and provide a strong basis for further experimental validation.</w:t>
      </w:r>
    </w:p>
    <w:p w14:paraId="56F5D116" w14:textId="2D938858" w:rsidR="00CE04B2" w:rsidRPr="00CE04B2" w:rsidRDefault="00CE04B2" w:rsidP="00B1140B">
      <w:pPr>
        <w:rPr>
          <w:b/>
          <w:sz w:val="48"/>
        </w:rPr>
      </w:pPr>
      <w:r>
        <w:rPr>
          <w:b/>
          <w:sz w:val="48"/>
        </w:rPr>
        <w:t xml:space="preserve">The interacting </w:t>
      </w:r>
      <w:proofErr w:type="gramStart"/>
      <w:r>
        <w:rPr>
          <w:b/>
          <w:sz w:val="48"/>
        </w:rPr>
        <w:t xml:space="preserve">residues </w:t>
      </w:r>
      <w:r>
        <w:rPr>
          <w:b/>
          <w:sz w:val="48"/>
        </w:rPr>
        <w:t>:</w:t>
      </w:r>
      <w:proofErr w:type="gramEnd"/>
    </w:p>
    <w:p w14:paraId="5723D78B" w14:textId="3AC52BB0" w:rsidR="00AA54A7" w:rsidRPr="00AA54A7" w:rsidRDefault="00AA54A7" w:rsidP="00B1140B">
      <w:pPr>
        <w:rPr>
          <w:bCs/>
          <w:sz w:val="36"/>
        </w:rPr>
      </w:pPr>
      <w:r w:rsidRPr="00AA54A7">
        <w:rPr>
          <w:bCs/>
          <w:sz w:val="36"/>
        </w:rPr>
        <w:t>Key interacting residues include ASP A:933, LYS A:802, ILE A:932, ILE A:848, PHE A:930, VAL A:851, ILE A:800, MET A:772, MET A:922, VAL A:850, TYR A:836, TRP A:780, GLU A:849, LEU A:807, SER A:774, and SER A:854.</w:t>
      </w:r>
    </w:p>
    <w:p w14:paraId="2F0E5C82" w14:textId="77777777" w:rsidR="00AA54A7" w:rsidRDefault="00AA54A7" w:rsidP="00AA54A7">
      <w:pPr>
        <w:keepNext/>
      </w:pPr>
      <w:r>
        <w:rPr>
          <w:b/>
          <w:noProof/>
          <w:sz w:val="48"/>
        </w:rPr>
        <w:lastRenderedPageBreak/>
        <w:drawing>
          <wp:inline distT="0" distB="0" distL="0" distR="0" wp14:anchorId="7795B0F4" wp14:editId="7916E338">
            <wp:extent cx="5943600" cy="3002280"/>
            <wp:effectExtent l="0" t="0" r="0" b="7620"/>
            <wp:docPr id="15171744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74468" name="Picture 1517174468"/>
                    <pic:cNvPicPr/>
                  </pic:nvPicPr>
                  <pic:blipFill>
                    <a:blip r:embed="rId30">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6165017C" w14:textId="2566654F" w:rsidR="00AA54A7" w:rsidRDefault="00AA54A7" w:rsidP="00AA54A7">
      <w:pPr>
        <w:pStyle w:val="Caption"/>
      </w:pPr>
      <w:r>
        <w:t xml:space="preserve">Figure </w:t>
      </w:r>
      <w:r>
        <w:fldChar w:fldCharType="begin"/>
      </w:r>
      <w:r>
        <w:instrText xml:space="preserve"> SEQ Figure \* ARABIC </w:instrText>
      </w:r>
      <w:r>
        <w:fldChar w:fldCharType="separate"/>
      </w:r>
      <w:r w:rsidR="002016F0">
        <w:rPr>
          <w:noProof/>
        </w:rPr>
        <w:t>11</w:t>
      </w:r>
      <w:r>
        <w:fldChar w:fldCharType="end"/>
      </w:r>
      <w:r>
        <w:t xml:space="preserve">  </w:t>
      </w:r>
      <w:r w:rsidRPr="00AA54A7">
        <w:t xml:space="preserve">Molecular docking interactions between bisdemethoxycurcumin and the receptor, visualized in Discovery Studio Visualizer. </w:t>
      </w:r>
      <w:r w:rsidRPr="00AA54A7">
        <w:rPr>
          <w:b/>
          <w:bCs/>
        </w:rPr>
        <w:t>(Left)</w:t>
      </w:r>
      <w:r w:rsidRPr="00AA54A7">
        <w:t xml:space="preserve"> Overall 3D representation of the receptor-ligand complex, showing the protein secondary structure (α-helices in red, β-sheets in cyan, loops in gray/white) with the docked ligand bound within the binding pocket. </w:t>
      </w:r>
      <w:r w:rsidRPr="00AA54A7">
        <w:rPr>
          <w:b/>
          <w:bCs/>
        </w:rPr>
        <w:t>(Right)</w:t>
      </w:r>
      <w:r w:rsidRPr="00AA54A7">
        <w:t xml:space="preserve"> 2D interaction diagram depicting the residues within the ligand-binding site and their corresponding non-bonded interactions, including van der Waals contacts (light green), conventional hydrogen bonds (dark green), Pi-Sigma interactions (purple), Pi-Sulfur interactions (orange), and Pi-Alkyl interactions (pink)</w:t>
      </w:r>
    </w:p>
    <w:p w14:paraId="5C178DDF" w14:textId="77777777" w:rsidR="00AA54A7" w:rsidRPr="00AA54A7" w:rsidRDefault="00AA54A7" w:rsidP="00AA54A7"/>
    <w:sectPr w:rsidR="00AA54A7" w:rsidRPr="00AA54A7" w:rsidSect="0050171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roman"/>
    <w:pitch w:val="default"/>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055"/>
    <w:multiLevelType w:val="multilevel"/>
    <w:tmpl w:val="F37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1A8"/>
    <w:multiLevelType w:val="multilevel"/>
    <w:tmpl w:val="DAC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379A"/>
    <w:multiLevelType w:val="multilevel"/>
    <w:tmpl w:val="8F0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A32D9"/>
    <w:multiLevelType w:val="multilevel"/>
    <w:tmpl w:val="B86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6135"/>
    <w:multiLevelType w:val="multilevel"/>
    <w:tmpl w:val="F18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A2571"/>
    <w:multiLevelType w:val="multilevel"/>
    <w:tmpl w:val="353E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40B8E"/>
    <w:multiLevelType w:val="multilevel"/>
    <w:tmpl w:val="F88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E467D"/>
    <w:multiLevelType w:val="multilevel"/>
    <w:tmpl w:val="B48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8170D"/>
    <w:multiLevelType w:val="multilevel"/>
    <w:tmpl w:val="F99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96D8D"/>
    <w:multiLevelType w:val="multilevel"/>
    <w:tmpl w:val="102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C5D1A"/>
    <w:multiLevelType w:val="multilevel"/>
    <w:tmpl w:val="E03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74063"/>
    <w:multiLevelType w:val="multilevel"/>
    <w:tmpl w:val="88E6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09181D"/>
    <w:multiLevelType w:val="multilevel"/>
    <w:tmpl w:val="816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63722"/>
    <w:multiLevelType w:val="multilevel"/>
    <w:tmpl w:val="AC3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D3B0F"/>
    <w:multiLevelType w:val="hybridMultilevel"/>
    <w:tmpl w:val="B6988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9E2C83"/>
    <w:multiLevelType w:val="hybridMultilevel"/>
    <w:tmpl w:val="AD0649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D7771"/>
    <w:multiLevelType w:val="multilevel"/>
    <w:tmpl w:val="F19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C6FB8"/>
    <w:multiLevelType w:val="hybridMultilevel"/>
    <w:tmpl w:val="B69882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5E81DA7"/>
    <w:multiLevelType w:val="multilevel"/>
    <w:tmpl w:val="97483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C0560"/>
    <w:multiLevelType w:val="multilevel"/>
    <w:tmpl w:val="CC9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0724C"/>
    <w:multiLevelType w:val="multilevel"/>
    <w:tmpl w:val="448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802746">
    <w:abstractNumId w:val="5"/>
  </w:num>
  <w:num w:numId="2" w16cid:durableId="265776893">
    <w:abstractNumId w:val="0"/>
  </w:num>
  <w:num w:numId="3" w16cid:durableId="222176688">
    <w:abstractNumId w:val="11"/>
  </w:num>
  <w:num w:numId="4" w16cid:durableId="1910572447">
    <w:abstractNumId w:val="14"/>
  </w:num>
  <w:num w:numId="5" w16cid:durableId="1276790551">
    <w:abstractNumId w:val="7"/>
  </w:num>
  <w:num w:numId="6" w16cid:durableId="1658067704">
    <w:abstractNumId w:val="15"/>
  </w:num>
  <w:num w:numId="7" w16cid:durableId="39210866">
    <w:abstractNumId w:val="3"/>
  </w:num>
  <w:num w:numId="8" w16cid:durableId="1551727528">
    <w:abstractNumId w:val="2"/>
  </w:num>
  <w:num w:numId="9" w16cid:durableId="1698385498">
    <w:abstractNumId w:val="19"/>
  </w:num>
  <w:num w:numId="10" w16cid:durableId="906845674">
    <w:abstractNumId w:val="20"/>
  </w:num>
  <w:num w:numId="11" w16cid:durableId="1485510471">
    <w:abstractNumId w:val="9"/>
  </w:num>
  <w:num w:numId="12" w16cid:durableId="76289847">
    <w:abstractNumId w:val="4"/>
  </w:num>
  <w:num w:numId="13" w16cid:durableId="162935094">
    <w:abstractNumId w:val="12"/>
  </w:num>
  <w:num w:numId="14" w16cid:durableId="509836102">
    <w:abstractNumId w:val="6"/>
  </w:num>
  <w:num w:numId="15" w16cid:durableId="231889776">
    <w:abstractNumId w:val="1"/>
  </w:num>
  <w:num w:numId="16" w16cid:durableId="829372571">
    <w:abstractNumId w:val="18"/>
  </w:num>
  <w:num w:numId="17" w16cid:durableId="1003241302">
    <w:abstractNumId w:val="17"/>
  </w:num>
  <w:num w:numId="18" w16cid:durableId="1514569026">
    <w:abstractNumId w:val="13"/>
  </w:num>
  <w:num w:numId="19" w16cid:durableId="679046551">
    <w:abstractNumId w:val="10"/>
  </w:num>
  <w:num w:numId="20" w16cid:durableId="976884888">
    <w:abstractNumId w:val="8"/>
  </w:num>
  <w:num w:numId="21" w16cid:durableId="20022717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A2"/>
    <w:rsid w:val="0002470A"/>
    <w:rsid w:val="0005005A"/>
    <w:rsid w:val="00091CF7"/>
    <w:rsid w:val="000B3770"/>
    <w:rsid w:val="000D2C5E"/>
    <w:rsid w:val="0011244C"/>
    <w:rsid w:val="00163A68"/>
    <w:rsid w:val="001C4EFE"/>
    <w:rsid w:val="001E26A4"/>
    <w:rsid w:val="002016F0"/>
    <w:rsid w:val="00237101"/>
    <w:rsid w:val="0028792F"/>
    <w:rsid w:val="002943AA"/>
    <w:rsid w:val="0032162F"/>
    <w:rsid w:val="00357FE6"/>
    <w:rsid w:val="003D5AB1"/>
    <w:rsid w:val="004168CD"/>
    <w:rsid w:val="00432BB9"/>
    <w:rsid w:val="0043634B"/>
    <w:rsid w:val="004501F5"/>
    <w:rsid w:val="004D0945"/>
    <w:rsid w:val="00501712"/>
    <w:rsid w:val="005046C9"/>
    <w:rsid w:val="005205D9"/>
    <w:rsid w:val="00520968"/>
    <w:rsid w:val="00523E8D"/>
    <w:rsid w:val="00533532"/>
    <w:rsid w:val="005E7ED7"/>
    <w:rsid w:val="00614169"/>
    <w:rsid w:val="00623595"/>
    <w:rsid w:val="006844AE"/>
    <w:rsid w:val="007607D8"/>
    <w:rsid w:val="0076447A"/>
    <w:rsid w:val="007978F4"/>
    <w:rsid w:val="007A36AA"/>
    <w:rsid w:val="007E67DF"/>
    <w:rsid w:val="008143C4"/>
    <w:rsid w:val="0083107D"/>
    <w:rsid w:val="008421CD"/>
    <w:rsid w:val="00863ADE"/>
    <w:rsid w:val="008810B0"/>
    <w:rsid w:val="00887ABB"/>
    <w:rsid w:val="00895932"/>
    <w:rsid w:val="008C2054"/>
    <w:rsid w:val="008C4B15"/>
    <w:rsid w:val="00951A6D"/>
    <w:rsid w:val="00983AEF"/>
    <w:rsid w:val="00995157"/>
    <w:rsid w:val="009A1B3E"/>
    <w:rsid w:val="009B236B"/>
    <w:rsid w:val="00A55443"/>
    <w:rsid w:val="00A91D6B"/>
    <w:rsid w:val="00AA4C9D"/>
    <w:rsid w:val="00AA54A7"/>
    <w:rsid w:val="00AE1FA2"/>
    <w:rsid w:val="00B1140B"/>
    <w:rsid w:val="00B26BC4"/>
    <w:rsid w:val="00BE1D58"/>
    <w:rsid w:val="00C011D1"/>
    <w:rsid w:val="00C4275A"/>
    <w:rsid w:val="00C67081"/>
    <w:rsid w:val="00C77D1A"/>
    <w:rsid w:val="00CE04B2"/>
    <w:rsid w:val="00CE382F"/>
    <w:rsid w:val="00D072CD"/>
    <w:rsid w:val="00D21CEE"/>
    <w:rsid w:val="00D531EB"/>
    <w:rsid w:val="00DF4959"/>
    <w:rsid w:val="00E023EC"/>
    <w:rsid w:val="00E61A65"/>
    <w:rsid w:val="00F40D5E"/>
    <w:rsid w:val="00F53B28"/>
    <w:rsid w:val="00F5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F046"/>
  <w15:chartTrackingRefBased/>
  <w15:docId w15:val="{7F13A1FF-7C12-4FA9-97F2-0FCE21C6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FA2"/>
    <w:rPr>
      <w:rFonts w:eastAsiaTheme="majorEastAsia" w:cstheme="majorBidi"/>
      <w:color w:val="272727" w:themeColor="text1" w:themeTint="D8"/>
    </w:rPr>
  </w:style>
  <w:style w:type="paragraph" w:styleId="Title">
    <w:name w:val="Title"/>
    <w:basedOn w:val="Normal"/>
    <w:next w:val="Normal"/>
    <w:link w:val="TitleChar"/>
    <w:uiPriority w:val="10"/>
    <w:qFormat/>
    <w:rsid w:val="00AE1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FA2"/>
    <w:pPr>
      <w:spacing w:before="160"/>
      <w:jc w:val="center"/>
    </w:pPr>
    <w:rPr>
      <w:i/>
      <w:iCs/>
      <w:color w:val="404040" w:themeColor="text1" w:themeTint="BF"/>
    </w:rPr>
  </w:style>
  <w:style w:type="character" w:customStyle="1" w:styleId="QuoteChar">
    <w:name w:val="Quote Char"/>
    <w:basedOn w:val="DefaultParagraphFont"/>
    <w:link w:val="Quote"/>
    <w:uiPriority w:val="29"/>
    <w:rsid w:val="00AE1FA2"/>
    <w:rPr>
      <w:i/>
      <w:iCs/>
      <w:color w:val="404040" w:themeColor="text1" w:themeTint="BF"/>
    </w:rPr>
  </w:style>
  <w:style w:type="paragraph" w:styleId="ListParagraph">
    <w:name w:val="List Paragraph"/>
    <w:basedOn w:val="Normal"/>
    <w:uiPriority w:val="34"/>
    <w:qFormat/>
    <w:rsid w:val="00AE1FA2"/>
    <w:pPr>
      <w:ind w:left="720"/>
      <w:contextualSpacing/>
    </w:pPr>
  </w:style>
  <w:style w:type="character" w:styleId="IntenseEmphasis">
    <w:name w:val="Intense Emphasis"/>
    <w:basedOn w:val="DefaultParagraphFont"/>
    <w:uiPriority w:val="21"/>
    <w:qFormat/>
    <w:rsid w:val="00AE1FA2"/>
    <w:rPr>
      <w:i/>
      <w:iCs/>
      <w:color w:val="2F5496" w:themeColor="accent1" w:themeShade="BF"/>
    </w:rPr>
  </w:style>
  <w:style w:type="paragraph" w:styleId="IntenseQuote">
    <w:name w:val="Intense Quote"/>
    <w:basedOn w:val="Normal"/>
    <w:next w:val="Normal"/>
    <w:link w:val="IntenseQuoteChar"/>
    <w:uiPriority w:val="30"/>
    <w:qFormat/>
    <w:rsid w:val="00AE1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FA2"/>
    <w:rPr>
      <w:i/>
      <w:iCs/>
      <w:color w:val="2F5496" w:themeColor="accent1" w:themeShade="BF"/>
    </w:rPr>
  </w:style>
  <w:style w:type="character" w:styleId="IntenseReference">
    <w:name w:val="Intense Reference"/>
    <w:basedOn w:val="DefaultParagraphFont"/>
    <w:uiPriority w:val="32"/>
    <w:qFormat/>
    <w:rsid w:val="00AE1FA2"/>
    <w:rPr>
      <w:b/>
      <w:bCs/>
      <w:smallCaps/>
      <w:color w:val="2F5496" w:themeColor="accent1" w:themeShade="BF"/>
      <w:spacing w:val="5"/>
    </w:rPr>
  </w:style>
  <w:style w:type="character" w:styleId="Hyperlink">
    <w:name w:val="Hyperlink"/>
    <w:basedOn w:val="DefaultParagraphFont"/>
    <w:uiPriority w:val="99"/>
    <w:unhideWhenUsed/>
    <w:rsid w:val="00D072CD"/>
    <w:rPr>
      <w:color w:val="0563C1" w:themeColor="hyperlink"/>
      <w:u w:val="single"/>
    </w:rPr>
  </w:style>
  <w:style w:type="character" w:styleId="UnresolvedMention">
    <w:name w:val="Unresolved Mention"/>
    <w:basedOn w:val="DefaultParagraphFont"/>
    <w:uiPriority w:val="99"/>
    <w:semiHidden/>
    <w:unhideWhenUsed/>
    <w:rsid w:val="00D072CD"/>
    <w:rPr>
      <w:color w:val="605E5C"/>
      <w:shd w:val="clear" w:color="auto" w:fill="E1DFDD"/>
    </w:rPr>
  </w:style>
  <w:style w:type="table" w:styleId="LightList-Accent3">
    <w:name w:val="Light List Accent 3"/>
    <w:basedOn w:val="TableNormal"/>
    <w:uiPriority w:val="61"/>
    <w:rsid w:val="00E023EC"/>
    <w:pPr>
      <w:spacing w:after="0" w:line="240" w:lineRule="auto"/>
    </w:pPr>
    <w:rPr>
      <w:rFonts w:eastAsiaTheme="minorEastAsia"/>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uiPriority w:val="39"/>
    <w:rsid w:val="00E02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23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D531EB"/>
    <w:rPr>
      <w:color w:val="954F72" w:themeColor="followedHyperlink"/>
      <w:u w:val="single"/>
    </w:rPr>
  </w:style>
  <w:style w:type="paragraph" w:styleId="Caption">
    <w:name w:val="caption"/>
    <w:basedOn w:val="Normal"/>
    <w:next w:val="Normal"/>
    <w:uiPriority w:val="35"/>
    <w:unhideWhenUsed/>
    <w:qFormat/>
    <w:rsid w:val="0011244C"/>
    <w:pPr>
      <w:spacing w:after="200" w:line="240" w:lineRule="auto"/>
    </w:pPr>
    <w:rPr>
      <w:i/>
      <w:iCs/>
      <w:color w:val="44546A" w:themeColor="text2"/>
      <w:sz w:val="18"/>
      <w:szCs w:val="18"/>
    </w:rPr>
  </w:style>
  <w:style w:type="table" w:styleId="GridTable1Light">
    <w:name w:val="Grid Table 1 Light"/>
    <w:basedOn w:val="TableNormal"/>
    <w:uiPriority w:val="46"/>
    <w:rsid w:val="00CE38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F40D5E"/>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1C4E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50171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0171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ecards.org/" TargetMode="External"/><Relationship Id="rId13" Type="http://schemas.openxmlformats.org/officeDocument/2006/relationships/hyperlink" Target="https://tox.charite.de/protox3/index.php?site=compound_input"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hyperlink" Target="https://cytoscape.org/download.html" TargetMode="External"/><Relationship Id="rId12" Type="http://schemas.openxmlformats.org/officeDocument/2006/relationships/hyperlink" Target="https://www.swissadme.ch/index.php"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vidbioinformatics.nih.gov/workspace.html"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string-db.org/cgi/network?taskId=bZnzf7id3bP8&amp;sessionId=bDgnEB7OBnhx"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string-db.org/cgi/input?sessionId=bXxNqYfcymot&amp;input_page_active_form=multiple_identifiers"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83BDA8-76DA-4C14-A48C-EC7C26DC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3469</Words>
  <Characters>19775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designing through computational method]</dc:title>
  <dc:subject>Tahreem waris</dc:subject>
  <dc:creator>uaf</dc:creator>
  <cp:keywords/>
  <dc:description/>
  <cp:lastModifiedBy>Tahreem waris</cp:lastModifiedBy>
  <cp:revision>2</cp:revision>
  <dcterms:created xsi:type="dcterms:W3CDTF">2026-07-24T07:21:00Z</dcterms:created>
  <dcterms:modified xsi:type="dcterms:W3CDTF">2026-07-24T07:21:00Z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f306f84d-0576-4460-8b41-9530810d62ad</vt:lpwstr>
  </property>
</Properties>
</file>