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5.4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1"/>
      </w:pPr>
      <w:r>
        <w:t>5.4.1 Emotion Recognition Compared with Published Work</w:t>
      </w:r>
    </w:p>
    <w:p>
      <w:pPr>
        <w:spacing w:after="120"/>
      </w:pPr>
      <w:r>
        <w:t xml:space="preserve">Table 5.21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[20], MIME [21], EmpDG [22], KEMP [24], CEM [2], CASE [25] and ESCM [26], at 30.6-41.2%, as well as personality-aware and related models at 45.4-48.3% [28]. It is on par with RoBERTa-GPT2 (51.5%) [45]. These models read the whole conversation but learn emotion recognition as an auxiliary task of generation, so the gap reflects the benefit of a dedicated classifier.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[1] and RoBERTa (65.9%) [46],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[32],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5.4.3,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5.21: Emotion recognition accuracy on EmpatheticDialogues reported in published work and in this thesis</w:t>
      </w:r>
    </w:p>
    <w:p>
      <w:pPr>
        <w:pStyle w:val="Heading1"/>
      </w:pPr>
      <w:r>
        <w:t>5.4.2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[23], and fine-tuned tool-augmented LLMs win 61-72% of A/B empathy comparisons against models fine-tuned without tools [27] (Table 5.22).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5.22: Human evaluation of empathy in published work and in this thesis</w:t>
      </w:r>
    </w:p>
    <w:p>
      <w:pPr>
        <w:pStyle w:val="Heading1"/>
      </w:pPr>
      <w:r>
        <w:t>5.4.3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5.23). Within a single pipeline, replies built on a wrong emotion label follow the rules as often as those built on a correct label, and are scored as equally empathetic (Table 5.14). Replies are robust to label errors partly because most errors occur between neighbouring emotions (Section 5.4.6),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5.16). Across three independent tests, namely label errors, a GPT-2 to RoBERTa swap and a RoBERTa-base to RoBERTa-large swap, gains of two to three points in detection accuracy never translated into better replies.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r>
        <w:rPr>
          <w:i/>
          <w:sz w:val="20"/>
        </w:rPr>
        <w:t>Table 5.23: Effect of a more accurate detector with the generator held fixed</w:t>
      </w:r>
    </w:p>
    <w:p>
      <w:pPr>
        <w:pStyle w:val="Heading1"/>
      </w:pPr>
      <w:r>
        <w:t>5.4.4 Relationship between Reply Length and Measured Empathy</w:t>
      </w:r>
    </w:p>
    <w:p>
      <w:pPr>
        <w:spacing w:after="120"/>
      </w:pPr>
      <w:r>
        <w:t>WASSA empathy increases with reply length within every system, with Spearman correlations from 0.14 (top-1 Phi-4-mini) to 0.54 (zero-shot prompting) (Table 5.17). Measured empathy is therefore partly a function of verbosity, in line with the observation that longer LLM responses may be mistaken for greater empathy [29].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[13], should therefore be interpreted together with reply length.</w:t>
      </w:r>
    </w:p>
    <w:p>
      <w:pPr>
        <w:pStyle w:val="Heading1"/>
      </w:pPr>
      <w:r>
        <w:t>5.4.5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4.7).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1"/>
      </w:pPr>
      <w:r>
        <w:t>5.4.6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5.4), a pattern also reported for a comparable classifier [32].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1"/>
      </w:pPr>
      <w:r>
        <w:t>5.4.7 Parameter and Resource Efficiency</w:t>
      </w:r>
    </w:p>
    <w:p>
      <w:pPr>
        <w:spacing w:after="120"/>
      </w:pPr>
      <w:r>
        <w:t xml:space="preserve">Table 5.24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5.3.7)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5.25). RoBERTa-large has 2.8 times as many parameters as RoBERTa-base, took 7.4 times as long to train and is 2.9 points more accurate on the test partition, yet substituting it into the final system improved neither rule adherence, WASSA empathy nor emotion validation (Section 5.3.3). </w:t>
      </w:r>
      <w:r>
        <w:rPr>
          <w:b/>
        </w:rPr>
        <w:t>The smaller detector is therefore the parameter-efficient choice</w:t>
      </w:r>
      <w:r>
        <w:t>: additional detector capacity buys accuracy that does not reach the user.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5.24: Reply quality against total parameters for the final system and the single models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r>
        <w:rPr>
          <w:i/>
          <w:sz w:val="20"/>
        </w:rPr>
        <w:t>Table 5.25: Detector size, detection accuracy and final-system reply quality for RoBERTa-base and RoBERTa-large</w:t>
      </w:r>
    </w:p>
    <w:p>
      <w:pPr>
        <w:spacing w:after="120"/>
      </w:pPr>
      <w:r>
        <w:rPr>
          <w:b/>
        </w:rPr>
        <w:t>Resource use.</w:t>
      </w:r>
      <w:r>
        <w:t xml:space="preserve"> Parameter counts do not determine running cost on their own: the final system loads two models and calls its generator twice per reply. We therefore measured peak GPU memory and response time for the final system and both single models on the same 50 conversations, on the RTX 4060 used throughout, with the evaluation's decoding settings (Tables 5.26 and 5.27). </w:t>
      </w:r>
      <w:r>
        <w:rPr>
          <w:b/>
        </w:rPr>
        <w:t>Compared with the Qwen2.5-7B single model, the final system needs 38% less peak GPU memory</w:t>
      </w:r>
      <w:r>
        <w:t xml:space="preserve"> (3.40 GB against 5.47 GB) </w:t>
      </w:r>
      <w:r>
        <w:rPr>
          <w:b/>
        </w:rPr>
        <w:t>with no significant difference in response time</w:t>
      </w:r>
      <w:r>
        <w:t xml:space="preserve"> (4.17 s against 3.91 s per reply, 95% CI of the difference [-0.03, +0.56] s, Wilcoxon p = 0.10). Per generated token the two are practically identical (65.7 ms against 65.4 ms, p = 0.91); the small difference per reply reflects the final system's slightly longer replies. The additional steps of the decoupled design are inexpensive: the detector and cue extraction take 0.016 s and the stage-1 emotion selection 0.29 s, together about 7% of the time per reply. The Qwen2.5-1.5B single model, by contrast, is lighter (2.90 GB) and 2.6 times faster than the final system, so the final system is resource-efficient relative to the larger model it approaches in quality, not relative to the smallest baseline, whose replies are significantly less empathetic. These measurements come from a single GPU and 50 messages and should be read as indicative.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r>
        <w:rPr>
          <w:i/>
          <w:sz w:val="20"/>
        </w:rPr>
        <w:t>Table 5.26: GPU memory and response time of the final system and the single models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r>
        <w:rPr>
          <w:i/>
          <w:sz w:val="20"/>
        </w:rPr>
        <w:t>Table 5.27: Paired comparison of response time and memory between the final system and each single model</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[2] S. Sabour, C. Zheng, and M. Huang, "CEM: Commonsense-aware empathetic response generation," in Proc. AAAI Conf. Artificial Intelligence, vol. 36, no. 10, 2022, pp. 11229-11237.</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[20] Z. Lin, A. Madotto, J. Shin, P. Xu, and P. Fung, "MoEL: Mixture of empathetic listeners," in Proc. 2019 Conf. Empirical Methods Natural Language Processing and 9th Int. Joint Conf. Natural Language Processing (EMNLP-IJCNLP), 2019, pp. 121-132, doi: 10.18653/v1/D19-1012.</w:t>
      </w:r>
    </w:p>
    <w:p>
      <w:pPr>
        <w:ind w:left="576" w:hanging="576"/>
      </w:pPr>
      <w:r>
        <w:rPr>
          <w:sz w:val="20"/>
        </w:rPr>
        <w:t>[21] N. Majumder, P. Hong, S. Peng, J. Lu, D. Ghosal, A. Gelbukh, R. Mihalcea, and S. Poria, "MIME: MIMicking emotions for empathetic response generation," in Proc. 2020 Conf. Empirical Methods Natural Language Processing (EMNLP), 2020, pp. 8968-8979, doi: 10.18653/v1/2020.emnlp-main.721.</w:t>
      </w:r>
    </w:p>
    <w:p>
      <w:pPr>
        <w:ind w:left="576" w:hanging="576"/>
      </w:pPr>
      <w:r>
        <w:rPr>
          <w:sz w:val="20"/>
        </w:rPr>
        <w:t>[22] Q. Li, H. Chen, Z. Ren, P. Ren, Z. Tu, and Z. Chen, "EmpDG: Multi-resolution interactive empathetic dialogue generation," in Proc. 28th Int. Conf. Computational Linguistics (COLING), 2020, pp. 4454-4466, doi: 10.18653/v1/2020.coling-main.394.</w:t>
      </w:r>
    </w:p>
    <w:p>
      <w:pPr>
        <w:ind w:left="576" w:hanging="576"/>
      </w:pPr>
      <w:r>
        <w:rPr>
          <w:sz w:val="20"/>
        </w:rPr>
        <w:t>[23] Y. Qian, W.-N. Zhang, and T. Liu, "Harnessing the power of large language models for empathetic response generation: Empirical investigations and improvements," in Findings Assoc. Comput. Linguistics: EMNLP 2023, 2023; arXiv:2310.05140.</w:t>
      </w:r>
    </w:p>
    <w:p>
      <w:pPr>
        <w:ind w:left="576" w:hanging="576"/>
      </w:pPr>
      <w:r>
        <w:rPr>
          <w:sz w:val="20"/>
        </w:rPr>
        <w:t>[24] Q. Li, P. Li, Z. Ren, P. Ren, and Z. Chen, "Knowledge bridging for empathetic dialogue generation," in Proc. AAAI Conf. Artificial Intelligence, vol. 36, no. 10, 2022, pp. 10993-11001.</w:t>
      </w:r>
    </w:p>
    <w:p>
      <w:pPr>
        <w:ind w:left="576" w:hanging="576"/>
      </w:pPr>
      <w:r>
        <w:rPr>
          <w:sz w:val="20"/>
        </w:rPr>
        <w:t>[25] J. Zhou, C. Zheng, B. Wang, Z. Zhang, and M. Huang, "CASE: Aligning coarse-to-fine cognition and affection for empathetic response generation," in Proc. 61st Annu. Meeting Assoc. Comput. Linguistics (ACL), vol. 1, 2023, pp. 8223-8237, doi: 10.18653/v1/2023.acl-long.457.</w:t>
      </w:r>
    </w:p>
    <w:p>
      <w:pPr>
        <w:ind w:left="576" w:hanging="576"/>
      </w:pPr>
      <w:r>
        <w:rPr>
          <w:sz w:val="20"/>
        </w:rPr>
        <w:t>[26] Z. Yang, Z. Ren, Y. Wang, X. Zhu, Z. Chen, T. Cai, Y. Wu, Y. Su, S. Ju, and X. Liao, "Exploiting emotion-semantic correlations for empathetic response generation," in Findings Assoc. Comput. Linguistics: EMNLP 2023, 2023, pp. 4826-4837, doi: 10.18653/v1/2023.findings-emnlp.320.</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p>
      <w:pPr>
        <w:ind w:left="576" w:hanging="576"/>
      </w:pPr>
      <w:r>
        <w:rPr>
          <w:sz w:val="20"/>
        </w:rPr>
        <w:t>[45] Y. Liu, W. Maier, W. Minker, and S. Ultes, "Empathetic dialogue generation with pre-trained RoBERTa-GPT2 and external knowledge," in Proc. Int. Workshop Spoken Dialogue System Technology (IWSDS), 2021; arXiv:2109.03004.</w:t>
      </w:r>
    </w:p>
    <w:p>
      <w:pPr>
        <w:ind w:left="576" w:hanging="576"/>
      </w:pPr>
      <w:r>
        <w:rPr>
          <w:sz w:val="20"/>
        </w:rPr>
        <w:t>[46] A. Welivita and P. Pu, "A taxonomy of empathetic response intents in human social conversations," in Proc. 28th Int. Conf. Computational Linguistics (COLING), 2020, pp. 4886-4899, doi: 10.18653/v1/2020.coling-main.429.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