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5.4.9).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5.4.8). The WASSA classifier was trained on peer discussions of news articles, produces coarse classes and rewards length [14]. Emotion validation relies on our own detector. AI judges may favour longer answers [13], and the planned three-judge panel was reduced to two judges when one became unavailable, although the two panels agree closely on the systems both scored.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 measurement.</w:t>
      </w:r>
      <w:r>
        <w:t xml:space="preserve"> Memory use and response time were measured on a single GPU over 50 messages, so they are indicative rather than general.</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