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pPr>
        <w:spacing w:after="120"/>
      </w:pPr>
      <w:r>
        <w:rPr>
          <w:i/>
        </w:rPr>
        <w:t>Table A.1: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w:t>
            </w:r>
          </w:p>
        </w:tc>
        <w:tc>
          <w:tcPr>
            <w:tcW w:type="dxa" w:w="1872"/>
          </w:tcPr>
          <w:p>
            <w:r/>
            <w:r>
              <w:rPr>
                <w:sz w:val="16"/>
              </w:rPr>
              <w:t>Input length in conversation</w:t>
            </w:r>
          </w:p>
        </w:tc>
        <w:tc>
          <w:tcPr>
            <w:tcW w:type="dxa" w:w="1872"/>
          </w:tcPr>
          <w:p>
            <w:r/>
            <w:r>
              <w:rPr>
                <w:sz w:val="16"/>
              </w:rPr>
              <w:t>256 tokens over the last 4 user turns</w:t>
            </w:r>
          </w:p>
        </w:tc>
        <w:tc>
          <w:tcPr>
            <w:tcW w:type="dxa" w:w="1872"/>
          </w:tcPr>
          <w:p>
            <w:r/>
            <w:r>
              <w:rPr>
                <w:sz w:val="16"/>
              </w:rPr>
              <w:t>Four joined turns exceed the 128-token training length, so the limit is doubled for the agent while the classifier itself is unchanged</w:t>
            </w:r>
          </w:p>
        </w:tc>
        <w:tc>
          <w:tcPr>
            <w:tcW w:type="dxa" w:w="1872"/>
          </w:tcPr>
          <w:p>
            <w:r/>
            <w:r>
              <w:rPr>
                <w:sz w:val="16"/>
              </w:rPr>
              <w:t>conversation.py; Section 5.3.2</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content tokens, floor 3 and ceiling 14, merged into at most 3 phrases</w:t>
            </w:r>
          </w:p>
        </w:tc>
        <w:tc>
          <w:tcPr>
            <w:tcW w:type="dxa" w:w="1872"/>
          </w:tcPr>
          <w:p>
            <w:r/>
            <w:r>
              <w:rPr>
                <w:sz w:val="16"/>
              </w:rPr>
              <w:t>A fixed count returns almost the whole message for short inputs, which adds nothing because the generator already has the message; the floor and ceiling stop very short and very long messages producing a useless cue list, and the three-phrase cap keeps the prompt short</w:t>
            </w:r>
          </w:p>
        </w:tc>
        <w:tc>
          <w:tcPr>
            <w:tcW w:type="dxa" w:w="1872"/>
          </w:tcPr>
          <w:p>
            <w:r/>
            <w:r>
              <w:rPr>
                <w:sz w:val="16"/>
              </w:rPr>
              <w:t>CUE_TOKEN_FRACTION = 0.4, DEFAULT_MAX_CUES = 3 in attention_cues.py</w:t>
            </w:r>
          </w:p>
        </w:tc>
      </w:tr>
      <w:tr>
        <w:tc>
          <w:tcPr>
            <w:tcW w:type="dxa" w:w="1872"/>
          </w:tcPr>
          <w:p>
            <w:r/>
            <w:r>
              <w:rPr>
                <w:sz w:val="16"/>
              </w:rPr>
              <w:t>Attention cues</w:t>
            </w:r>
          </w:p>
        </w:tc>
        <w:tc>
          <w:tcPr>
            <w:tcW w:type="dxa" w:w="1872"/>
          </w:tcPr>
          <w:p>
            <w:r/>
            <w:r>
              <w:rPr>
                <w:sz w:val="16"/>
              </w:rPr>
              <w:t>Stopword filter</w:t>
            </w:r>
          </w:p>
        </w:tc>
        <w:tc>
          <w:tcPr>
            <w:tcW w:type="dxa" w:w="1872"/>
          </w:tcPr>
          <w:p>
            <w:r/>
            <w:r>
              <w:rPr>
                <w:sz w:val="16"/>
              </w:rPr>
              <w:t>Closed-class words excluded before ranking</w:t>
            </w:r>
          </w:p>
        </w:tc>
        <w:tc>
          <w:tcPr>
            <w:tcW w:type="dxa" w:w="1872"/>
          </w:tcPr>
          <w:p>
            <w:r/>
            <w:r>
              <w:rPr>
                <w:sz w:val="16"/>
              </w:rPr>
              <w:t>Attention concentrates on frequent function words, so without this the cues are stopwords rather than what the person said</w:t>
            </w:r>
          </w:p>
        </w:tc>
        <w:tc>
          <w:tcPr>
            <w:tcW w:type="dxa" w:w="1872"/>
          </w:tcPr>
          <w:p>
            <w:r/>
            <w:r>
              <w:rPr>
                <w:sz w:val="16"/>
              </w:rPr>
              <w:t>STOPWORDS in attention_cues.py</w:t>
            </w:r>
          </w:p>
        </w:tc>
      </w:tr>
      <w:tr>
        <w:tc>
          <w:tcPr>
            <w:tcW w:type="dxa" w:w="1872"/>
          </w:tcPr>
          <w:p>
            <w:r/>
            <w:r>
              <w:rPr>
                <w:sz w:val="16"/>
              </w:rPr>
              <w:t>Attention cues</w:t>
            </w:r>
          </w:p>
        </w:tc>
        <w:tc>
          <w:tcPr>
            <w:tcW w:type="dxa" w:w="1872"/>
          </w:tcPr>
          <w:p>
            <w:r/>
            <w:r>
              <w:rPr>
                <w:sz w:val="16"/>
              </w:rPr>
              <w:t>Input length</w:t>
            </w:r>
          </w:p>
        </w:tc>
        <w:tc>
          <w:tcPr>
            <w:tcW w:type="dxa" w:w="1872"/>
          </w:tcPr>
          <w:p>
            <w:r/>
            <w:r>
              <w:rPr>
                <w:sz w:val="16"/>
              </w:rPr>
              <w:t>128 tokens, message only</w:t>
            </w:r>
          </w:p>
        </w:tc>
        <w:tc>
          <w:tcPr>
            <w:tcW w:type="dxa" w:w="1872"/>
          </w:tcPr>
          <w:p>
            <w:r/>
            <w:r>
              <w:rPr>
                <w:sz w:val="16"/>
              </w:rPr>
              <w:t>Matches the detector's training length, and cues should point at the current message rather than turns the person has moved past</w:t>
            </w:r>
          </w:p>
        </w:tc>
        <w:tc>
          <w:tcPr>
            <w:tcW w:type="dxa" w:w="1872"/>
          </w:tcPr>
          <w:p>
            <w:r/>
            <w:r>
              <w:rPr>
                <w:sz w:val="16"/>
              </w:rPr>
              <w:t>attention_cues.py; Section 4.2.7</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5.2)</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A.26)</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r>
              <w:rPr>
                <w:sz w:val="16"/>
              </w:rPr>
              <w:t>Not used (left at 1.0)</w:t>
            </w:r>
          </w:p>
        </w:tc>
        <w:tc>
          <w:tcPr>
            <w:tcW w:type="dxa" w:w="1872"/>
          </w:tcPr>
          <w:p>
            <w:r/>
            <w:r>
              <w:rPr>
                <w:sz w:val="16"/>
              </w:rPr>
              <w:t>Deferred rather than chosen: it would likely reduce the 58.7% boilerplate rate, but regenerating every reply would have invalidated the AI-judge scores and the human-evaluation items already built on them</w:t>
            </w:r>
          </w:p>
        </w:tc>
        <w:tc>
          <w:tcPr>
            <w:tcW w:type="dxa" w:w="1872"/>
          </w:tcPr>
          <w:p>
            <w:r/>
            <w:r>
              <w:rPr>
                <w:sz w:val="16"/>
              </w:rPr>
              <w:t>Section 5.3.3</w:t>
            </w:r>
          </w:p>
        </w:tc>
      </w:tr>
      <w:tr>
        <w:tc>
          <w:tcPr>
            <w:tcW w:type="dxa" w:w="1872"/>
          </w:tcPr>
          <w:p>
            <w:r/>
            <w:r>
              <w:rPr>
                <w:sz w:val="16"/>
              </w:rPr>
              <w:t>d2 generator</w:t>
            </w:r>
          </w:p>
        </w:tc>
        <w:tc>
          <w:tcPr>
            <w:tcW w:type="dxa" w:w="1872"/>
          </w:tcPr>
          <w:p>
            <w:r/>
            <w:r>
              <w:rPr>
                <w:sz w:val="16"/>
              </w:rPr>
              <w:t>Sampling and seed</w:t>
            </w:r>
          </w:p>
        </w:tc>
        <w:tc>
          <w:tcPr>
            <w:tcW w:type="dxa" w:w="1872"/>
          </w:tcPr>
          <w:p>
            <w:r/>
            <w:r>
              <w:rPr>
                <w:sz w:val="16"/>
              </w:rPr>
              <w:t>do_sample = True, seed 42</w:t>
            </w:r>
          </w:p>
        </w:tc>
        <w:tc>
          <w:tcPr>
            <w:tcW w:type="dxa" w:w="1872"/>
          </w:tcPr>
          <w:p>
            <w:r/>
            <w:r>
              <w:rPr>
                <w:sz w:val="16"/>
              </w:rPr>
              <w:t>Sampling rather than greedy or beam search, which are known to produce repetitive text; one fixed seed makes every reported run reproducible</w:t>
            </w:r>
          </w:p>
        </w:tc>
        <w:tc>
          <w:tcPr>
            <w:tcW w:type="dxa" w:w="1872"/>
          </w:tcPr>
          <w:p>
            <w:r/>
            <w:r>
              <w:rPr>
                <w:sz w:val="16"/>
              </w:rPr>
              <w:t>Holtzman et al. (2020); generate_two_stage_pipeline.py</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Single-model baselines</w:t>
            </w:r>
          </w:p>
        </w:tc>
        <w:tc>
          <w:tcPr>
            <w:tcW w:type="dxa" w:w="1872"/>
          </w:tcPr>
          <w:p>
            <w:r/>
            <w:r>
              <w:rPr>
                <w:sz w:val="16"/>
              </w:rPr>
              <w:t>Loading</w:t>
            </w:r>
          </w:p>
        </w:tc>
        <w:tc>
          <w:tcPr>
            <w:tcW w:type="dxa" w:w="1872"/>
          </w:tcPr>
          <w:p>
            <w:r/>
            <w:r>
              <w:rPr>
                <w:sz w:val="16"/>
              </w:rPr>
              <w:t>Qwen2.5-1.5B in fp16; Phi-4-mini and Qwen2.5-7B in 4-bit NF4</w:t>
            </w:r>
          </w:p>
        </w:tc>
        <w:tc>
          <w:tcPr>
            <w:tcW w:type="dxa" w:w="1872"/>
          </w:tcPr>
          <w:p>
            <w:r/>
            <w:r>
              <w:rPr>
                <w:sz w:val="16"/>
              </w:rPr>
              <w:t>The same quantisation as the final system, so a comparison measures the design and not the numeric format; 1.5B fits in fp16 within the budget</w:t>
            </w:r>
          </w:p>
        </w:tc>
        <w:tc>
          <w:tcPr>
            <w:tcW w:type="dxa" w:w="1872"/>
          </w:tcPr>
          <w:p>
            <w:r/>
            <w:r>
              <w:rPr>
                <w:sz w:val="16"/>
              </w:rPr>
              <w:t>Section 4.2.5</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Retrieval baseline</w:t>
            </w:r>
          </w:p>
        </w:tc>
        <w:tc>
          <w:tcPr>
            <w:tcW w:type="dxa" w:w="1872"/>
          </w:tcPr>
          <w:p>
            <w:r/>
            <w:r>
              <w:rPr>
                <w:sz w:val="16"/>
              </w:rPr>
              <w:t>Embedding model</w:t>
            </w:r>
          </w:p>
        </w:tc>
        <w:tc>
          <w:tcPr>
            <w:tcW w:type="dxa" w:w="1872"/>
          </w:tcPr>
          <w:p>
            <w:r/>
            <w:r>
              <w:rPr>
                <w:sz w:val="16"/>
              </w:rPr>
              <w:t>all-MiniLM-L6-v2, normalised embeddings, cosine similarity</w:t>
            </w:r>
          </w:p>
        </w:tc>
        <w:tc>
          <w:tcPr>
            <w:tcW w:type="dxa" w:w="1872"/>
          </w:tcPr>
          <w:p>
            <w:r/>
            <w:r>
              <w:rPr>
                <w:sz w:val="16"/>
              </w:rPr>
              <w:t>A small sentence encoder that runs beside the two models within the memory budget</w:t>
            </w:r>
          </w:p>
        </w:tc>
        <w:tc>
          <w:tcPr>
            <w:tcW w:type="dxa" w:w="1872"/>
          </w:tcPr>
          <w:p>
            <w:r/>
            <w:r>
              <w:rPr>
                <w:sz w:val="16"/>
              </w:rPr>
              <w:t>Reimers and Gurevych (2019); generate_rag_responses.py</w:t>
            </w:r>
          </w:p>
        </w:tc>
      </w:tr>
      <w:tr>
        <w:tc>
          <w:tcPr>
            <w:tcW w:type="dxa" w:w="1872"/>
          </w:tcPr>
          <w:p>
            <w:r/>
            <w:r>
              <w:rPr>
                <w:sz w:val="16"/>
              </w:rPr>
              <w:t>Retrieval baseline</w:t>
            </w:r>
          </w:p>
        </w:tc>
        <w:tc>
          <w:tcPr>
            <w:tcW w:type="dxa" w:w="1872"/>
          </w:tcPr>
          <w:p>
            <w:r/>
            <w:r>
              <w:rPr>
                <w:sz w:val="16"/>
              </w:rPr>
              <w:t>Examples retrieved</w:t>
            </w:r>
          </w:p>
        </w:tc>
        <w:tc>
          <w:tcPr>
            <w:tcW w:type="dxa" w:w="1872"/>
          </w:tcPr>
          <w:p>
            <w:r/>
            <w:r>
              <w:rPr>
                <w:sz w:val="16"/>
              </w:rPr>
              <w:t>2, from the same emotion where possible</w:t>
            </w:r>
          </w:p>
        </w:tc>
        <w:tc>
          <w:tcPr>
            <w:tcW w:type="dxa" w:w="1872"/>
          </w:tcPr>
          <w:p>
            <w:r/>
            <w:r>
              <w:rPr>
                <w:sz w:val="16"/>
              </w:rPr>
              <w:t>Enough to show a pattern without crowding out the rules; the pool falls back to the same emotion without the question filter, then to the whole corpus, when too few examples exist</w:t>
            </w:r>
          </w:p>
        </w:tc>
        <w:tc>
          <w:tcPr>
            <w:tcW w:type="dxa" w:w="1872"/>
          </w:tcPr>
          <w:p>
            <w:r/>
            <w:r>
              <w:rPr>
                <w:sz w:val="16"/>
              </w:rPr>
              <w:t>Section 5.2.5</w:t>
            </w:r>
          </w:p>
        </w:tc>
      </w:tr>
      <w:tr>
        <w:tc>
          <w:tcPr>
            <w:tcW w:type="dxa" w:w="1872"/>
          </w:tcPr>
          <w:p>
            <w:r/>
            <w:r>
              <w:rPr>
                <w:sz w:val="16"/>
              </w:rPr>
              <w:t>Rule checks</w:t>
            </w:r>
          </w:p>
        </w:tc>
        <w:tc>
          <w:tcPr>
            <w:tcW w:type="dxa" w:w="1872"/>
          </w:tcPr>
          <w:p>
            <w:r/>
            <w:r>
              <w:rPr>
                <w:sz w:val="16"/>
              </w:rPr>
              <w:t>Acknowledgement</w:t>
            </w:r>
          </w:p>
        </w:tc>
        <w:tc>
          <w:tcPr>
            <w:tcW w:type="dxa" w:w="1872"/>
          </w:tcPr>
          <w:p>
            <w:r/>
            <w:r>
              <w:rPr>
                <w:sz w:val="16"/>
              </w:rPr>
              <w:t>Keyword check over 13 phrases ("sounds", "I hear you", "makes sense", "must be", ...)</w:t>
            </w:r>
          </w:p>
        </w:tc>
        <w:tc>
          <w:tcPr>
            <w:tcW w:type="dxa" w:w="1872"/>
          </w:tcPr>
          <w:p>
            <w:r/>
            <w:r>
              <w:rPr>
                <w:sz w:val="16"/>
              </w:rPr>
              <w:t>A transparent check anyone can re-run and audit; its weakness, that a reply validating a feeling in other words is not counted, is reported rather than hidden</w:t>
            </w:r>
          </w:p>
        </w:tc>
        <w:tc>
          <w:tcPr>
            <w:tcW w:type="dxa" w:w="1872"/>
          </w:tcPr>
          <w:p>
            <w:r/>
            <w:r>
              <w:rPr>
                <w:sz w:val="16"/>
              </w:rPr>
              <w:t>ACK_KEYWORDS in score_d2_settings_comparison.py; Section 5.5.4</w:t>
            </w:r>
          </w:p>
        </w:tc>
      </w:tr>
      <w:tr>
        <w:tc>
          <w:tcPr>
            <w:tcW w:type="dxa" w:w="1872"/>
          </w:tcPr>
          <w:p>
            <w:r/>
            <w:r>
              <w:rPr>
                <w:sz w:val="16"/>
              </w:rPr>
              <w:t>Rule checks</w:t>
            </w:r>
          </w:p>
        </w:tc>
        <w:tc>
          <w:tcPr>
            <w:tcW w:type="dxa" w:w="1872"/>
          </w:tcPr>
          <w:p>
            <w:r/>
            <w:r>
              <w:rPr>
                <w:sz w:val="16"/>
              </w:rPr>
              <w:t>Exactly one question</w:t>
            </w:r>
          </w:p>
        </w:tc>
        <w:tc>
          <w:tcPr>
            <w:tcW w:type="dxa" w:w="1872"/>
          </w:tcPr>
          <w:p>
            <w:r/>
            <w:r>
              <w:rPr>
                <w:sz w:val="16"/>
              </w:rPr>
              <w:t>Count of '?' in the reply equals 1</w:t>
            </w:r>
          </w:p>
        </w:tc>
        <w:tc>
          <w:tcPr>
            <w:tcW w:type="dxa" w:w="1872"/>
          </w:tcPr>
          <w:p>
            <w:r/>
            <w:r>
              <w:rPr>
                <w:sz w:val="16"/>
              </w:rPr>
              <w:t>Counts the behaviour the rule actually asks for; more than one question is the interrogation failure mode the design exists to avoid</w:t>
            </w:r>
          </w:p>
        </w:tc>
        <w:tc>
          <w:tcPr>
            <w:tcW w:type="dxa" w:w="1872"/>
          </w:tcPr>
          <w:p>
            <w:r/>
            <w:r>
              <w:rPr>
                <w:sz w:val="16"/>
              </w:rPr>
              <w:t>check_rule_adherence(); Section 5.5.4</w:t>
            </w:r>
          </w:p>
        </w:tc>
      </w:tr>
      <w:tr>
        <w:tc>
          <w:tcPr>
            <w:tcW w:type="dxa" w:w="1872"/>
          </w:tcPr>
          <w:p>
            <w:r/>
            <w:r>
              <w:rPr>
                <w:sz w:val="16"/>
              </w:rPr>
              <w:t>Rule checks</w:t>
            </w:r>
          </w:p>
        </w:tc>
        <w:tc>
          <w:tcPr>
            <w:tcW w:type="dxa" w:w="1872"/>
          </w:tcPr>
          <w:p>
            <w:r/>
            <w:r>
              <w:rPr>
                <w:sz w:val="16"/>
              </w:rPr>
              <w:t>Length limit</w:t>
            </w:r>
          </w:p>
        </w:tc>
        <w:tc>
          <w:tcPr>
            <w:tcW w:type="dxa" w:w="1872"/>
          </w:tcPr>
          <w:p>
            <w:r/>
            <w:r>
              <w:rPr>
                <w:sz w:val="16"/>
              </w:rPr>
              <w:t>120 words when scoring, 100 words in the prompt</w:t>
            </w:r>
          </w:p>
        </w:tc>
        <w:tc>
          <w:tcPr>
            <w:tcW w:type="dxa" w:w="1872"/>
          </w:tcPr>
          <w:p>
            <w:r/>
            <w:r>
              <w:rPr>
                <w:sz w:val="16"/>
              </w:rPr>
              <w:t>The prompt asks for less than the checker enforces, so a reply is not failed for a few words of overrun; both numbers are fixed for every system compared</w:t>
            </w:r>
          </w:p>
        </w:tc>
        <w:tc>
          <w:tcPr>
            <w:tcW w:type="dxa" w:w="1872"/>
          </w:tcPr>
          <w:p>
            <w:r/>
            <w:r>
              <w:rPr>
                <w:sz w:val="16"/>
              </w:rPr>
              <w:t>check_rule_adherence(max_words=120)</w:t>
            </w:r>
          </w:p>
        </w:tc>
      </w:tr>
      <w:tr>
        <w:tc>
          <w:tcPr>
            <w:tcW w:type="dxa" w:w="1872"/>
          </w:tcPr>
          <w:p>
            <w:r/>
            <w:r>
              <w:rPr>
                <w:sz w:val="16"/>
              </w:rPr>
              <w:t>Emotion validation</w:t>
            </w:r>
          </w:p>
        </w:tc>
        <w:tc>
          <w:tcPr>
            <w:tcW w:type="dxa" w:w="1872"/>
          </w:tcPr>
          <w:p>
            <w:r/>
            <w:r>
              <w:rPr>
                <w:sz w:val="16"/>
              </w:rPr>
              <w:t>Method</w:t>
            </w:r>
          </w:p>
        </w:tc>
        <w:tc>
          <w:tcPr>
            <w:tcW w:type="dxa" w:w="1872"/>
          </w:tcPr>
          <w:p>
            <w:r/>
            <w:r>
              <w:rPr>
                <w:sz w:val="16"/>
              </w:rPr>
              <w:t>The reply is passed back through d1 and compared with the conversation's gold emotion</w:t>
            </w:r>
          </w:p>
        </w:tc>
        <w:tc>
          <w:tcPr>
            <w:tcW w:type="dxa" w:w="1872"/>
          </w:tcPr>
          <w:p>
            <w:r/>
            <w:r>
              <w:rPr>
                <w:sz w:val="16"/>
              </w:rPr>
              <w:t>Tests what the reply expresses rather than its form, against a label the system never saw; the detector reads replies it was not trained on, which is reported as a limitation</w:t>
            </w:r>
          </w:p>
        </w:tc>
        <w:tc>
          <w:tcPr>
            <w:tcW w:type="dxa" w:w="1872"/>
          </w:tcPr>
          <w:p>
            <w:r/>
            <w:r>
              <w:rPr>
                <w:sz w:val="16"/>
              </w:rPr>
              <w:t>Section 5.1.3</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WASSA classifier</w:t>
            </w:r>
          </w:p>
        </w:tc>
        <w:tc>
          <w:tcPr>
            <w:tcW w:type="dxa" w:w="1872"/>
          </w:tcPr>
          <w:p>
            <w:r/>
            <w:r>
              <w:rPr>
                <w:sz w:val="16"/>
              </w:rPr>
              <w:t>Use</w:t>
            </w:r>
          </w:p>
        </w:tc>
        <w:tc>
          <w:tcPr>
            <w:tcW w:type="dxa" w:w="1872"/>
          </w:tcPr>
          <w:p>
            <w:r/>
            <w:r>
              <w:rPr>
                <w:sz w:val="16"/>
              </w:rPr>
              <w:t>System averages over 300 replies only, never a single reply</w:t>
            </w:r>
          </w:p>
        </w:tc>
        <w:tc>
          <w:tcPr>
            <w:tcW w:type="dxa" w:w="1872"/>
          </w:tcPr>
          <w:p>
            <w:r/>
            <w:r>
              <w:rPr>
                <w:sz w:val="16"/>
              </w:rPr>
              <w:t>Agreement with the judges is strong across systems (rho = 0.74) but weak within one, so the score carries meaning in aggregate and not per reply</w:t>
            </w:r>
          </w:p>
        </w:tc>
        <w:tc>
          <w:tcPr>
            <w:tcW w:type="dxa" w:w="1872"/>
          </w:tcPr>
          <w:p>
            <w:r/>
            <w:r>
              <w:rPr>
                <w:sz w:val="16"/>
              </w:rPr>
              <w:t>Section 5.4.4</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AI judges</w:t>
            </w:r>
          </w:p>
        </w:tc>
        <w:tc>
          <w:tcPr>
            <w:tcW w:type="dxa" w:w="1872"/>
          </w:tcPr>
          <w:p>
            <w:r/>
            <w:r>
              <w:rPr>
                <w:sz w:val="16"/>
              </w:rPr>
              <w:t>Coverage</w:t>
            </w:r>
          </w:p>
        </w:tc>
        <w:tc>
          <w:tcPr>
            <w:tcW w:type="dxa" w:w="1872"/>
          </w:tcPr>
          <w:p>
            <w:r/>
            <w:r>
              <w:rPr>
                <w:sz w:val="16"/>
              </w:rPr>
              <w:t>512 replies: 8 systems x 64 conversations, both judges scoring every one</w:t>
            </w:r>
          </w:p>
        </w:tc>
        <w:tc>
          <w:tcPr>
            <w:tcW w:type="dxa" w:w="1872"/>
          </w:tcPr>
          <w:p>
            <w:r/>
            <w:r>
              <w:rPr>
                <w:sz w:val="16"/>
              </w:rPr>
              <w:t>Mixing judge sets across systems would make the scores incomparable</w:t>
            </w:r>
          </w:p>
        </w:tc>
        <w:tc>
          <w:tcPr>
            <w:tcW w:type="dxa" w:w="1872"/>
          </w:tcPr>
          <w:p>
            <w:r/>
            <w:r>
              <w:rPr>
                <w:sz w:val="16"/>
              </w:rPr>
              <w:t>Section 5.1.5</w:t>
            </w:r>
          </w:p>
        </w:tc>
      </w:tr>
      <w:tr>
        <w:tc>
          <w:tcPr>
            <w:tcW w:type="dxa" w:w="1872"/>
          </w:tcPr>
          <w:p>
            <w:r/>
            <w:r>
              <w:rPr>
                <w:sz w:val="16"/>
              </w:rPr>
              <w:t>Human evaluation</w:t>
            </w:r>
          </w:p>
        </w:tc>
        <w:tc>
          <w:tcPr>
            <w:tcW w:type="dxa" w:w="1872"/>
          </w:tcPr>
          <w:p>
            <w:r/>
            <w:r>
              <w:rPr>
                <w:sz w:val="16"/>
              </w:rPr>
              <w:t>Design</w:t>
            </w:r>
          </w:p>
        </w:tc>
        <w:tc>
          <w:tcPr>
            <w:tcW w:type="dxa" w:w="1872"/>
          </w:tcPr>
          <w:p>
            <w:r/>
            <w:r>
              <w:rPr>
                <w:sz w:val="16"/>
              </w:rPr>
              <w:t>8 situations x 3 replies, each rated 1-5 on three dimensions, plus one preference question</w:t>
            </w:r>
          </w:p>
        </w:tc>
        <w:tc>
          <w:tcPr>
            <w:tcW w:type="dxa" w:w="1872"/>
          </w:tcPr>
          <w:p>
            <w:r/>
            <w:r>
              <w:rPr>
                <w:sz w:val="16"/>
              </w:rPr>
              <w:t>Rating as well as choosing gives every system a score on every situation, so the size of a difference can be measured and not only its direction; 24 ratings keeps the form short enough to avoid rater fatigue</w:t>
            </w:r>
          </w:p>
        </w:tc>
        <w:tc>
          <w:tcPr>
            <w:tcW w:type="dxa" w:w="1872"/>
          </w:tcPr>
          <w:p>
            <w:r/>
            <w:r>
              <w:rPr>
                <w:sz w:val="16"/>
              </w:rPr>
              <w:t>Section 5.1.6</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A.9: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pPr>
        <w:spacing w:after="120"/>
      </w:pPr>
      <w:r>
        <w:rPr>
          <w:i/>
        </w:rPr>
        <w:t>Table A.11: Effect of training the detector on the text it actually receives (the training-input mismatch, quoted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A.12: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A.13: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w:t>
            </w:r>
          </w:p>
        </w:tc>
        <w:tc>
          <w:tcPr>
            <w:tcW w:type="dxa" w:w="1170"/>
          </w:tcPr>
          <w:p>
            <w:r/>
            <w:r>
              <w:rPr>
                <w:sz w:val="13"/>
              </w:rPr>
              <w:t>27.67</w:t>
            </w:r>
          </w:p>
        </w:tc>
        <w:tc>
          <w:tcPr>
            <w:tcW w:type="dxa" w:w="1170"/>
          </w:tcPr>
          <w:p>
            <w:r/>
            <w:r>
              <w:rPr>
                <w:sz w:val="13"/>
              </w:rPr>
              <w:t>22</w:t>
            </w:r>
          </w:p>
        </w:tc>
        <w:tc>
          <w:tcPr>
            <w:tcW w:type="dxa" w:w="1170"/>
          </w:tcPr>
          <w:p>
            <w:r/>
            <w:r>
              <w:rPr>
                <w:sz w:val="13"/>
              </w:rPr>
              <w:t>133.25</w:t>
            </w:r>
          </w:p>
        </w:tc>
        <w:tc>
          <w:tcPr>
            <w:tcW w:type="dxa" w:w="1170"/>
          </w:tcPr>
          <w:p>
            <w:r/>
            <w:r>
              <w:rPr>
                <w:sz w:val="13"/>
              </w:rPr>
              <w:t>5.3</w:t>
            </w:r>
          </w:p>
        </w:tc>
        <w:tc>
          <w:tcPr>
            <w:tcW w:type="dxa" w:w="1170"/>
          </w:tcPr>
          <w:p>
            <w:r/>
            <w:r>
              <w:rPr>
                <w:sz w:val="13"/>
              </w:rPr>
              <w:t>35</w:t>
            </w:r>
          </w:p>
        </w:tc>
      </w:tr>
      <w:tr>
        <w:tc>
          <w:tcPr>
            <w:tcW w:type="dxa" w:w="1170"/>
          </w:tcPr>
          <w:p>
            <w:r/>
            <w:r>
              <w:rPr>
                <w:sz w:val="13"/>
              </w:rPr>
              <w:t>Phi-4-mini (top-1)</w:t>
            </w:r>
          </w:p>
        </w:tc>
        <w:tc>
          <w:tcPr>
            <w:tcW w:type="dxa" w:w="1170"/>
          </w:tcPr>
          <w:p>
            <w:r/>
            <w:r>
              <w:rPr>
                <w:sz w:val="13"/>
              </w:rPr>
              <w:t>72</w:t>
            </w:r>
          </w:p>
        </w:tc>
        <w:tc>
          <w:tcPr>
            <w:tcW w:type="dxa" w:w="1170"/>
          </w:tcPr>
          <w:p>
            <w:r/>
            <w:r>
              <w:rPr>
                <w:sz w:val="13"/>
              </w:rPr>
              <w:t>94.67</w:t>
            </w:r>
          </w:p>
        </w:tc>
        <w:tc>
          <w:tcPr>
            <w:tcW w:type="dxa" w:w="1170"/>
          </w:tcPr>
          <w:p>
            <w:r/>
            <w:r>
              <w:rPr>
                <w:sz w:val="13"/>
              </w:rPr>
              <w:t>96</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pPr>
        <w:spacing w:after="120"/>
      </w:pPr>
      <w:r>
        <w:rPr>
          <w:i/>
        </w:rPr>
        <w:t>Table A.14: Generator candidates with the detector, prompt and conversations held fixed (the generator bake-off reported in Section 5.2.3).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A.15: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pPr>
        <w:spacing w:after="120"/>
      </w:pPr>
      <w:r>
        <w:rPr>
          <w:i/>
        </w:rPr>
        <w:t>Table A.16: The four ways of passing the detector's output to the generator (the four integration variants compared in Section 5.2.4).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Qwen-7B</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two-stage Phi-4-mini</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 Qwen)</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Phi-4-mini</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Qwen-1.5B</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 Phi-4-mini (top-1)</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Qwen-1.5B</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Fine-tuned Qwen-1.5B</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pPr>
        <w:spacing w:after="120"/>
      </w:pPr>
      <w:r>
        <w:rPr>
          <w:i/>
        </w:rPr>
        <w:t>Table A.17: Equal-weight composite of five independent measures across the judged systems (the equal-weight composite ranking summarised in Section 5.2.6).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A.18: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A.19: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pPr>
        <w:spacing w:after="120"/>
      </w:pPr>
      <w:r>
        <w:rPr>
          <w:i/>
        </w:rPr>
        <w:t>Table A.20: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pPr>
        <w:spacing w:after="120"/>
      </w:pPr>
      <w:r>
        <w:rPr>
          <w:i/>
        </w:rPr>
        <w:t>Table A.21: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A.22: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A.23: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A.24: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A.25: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pPr>
        <w:spacing w:after="120"/>
      </w:pPr>
      <w:r>
        <w:rPr>
          <w:i/>
        </w:rPr>
        <w:t>Table A.26: Paired significance tests on the AI-judge scores (every judge comparison behind Section 5.4.6).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pPr>
        <w:spacing w:after="120"/>
      </w:pPr>
      <w:r>
        <w:rPr>
          <w:i/>
        </w:rPr>
        <w:t>Table A.27: Agreement between the two AI judges (the judge agreement checks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pPr>
        <w:spacing w:after="120"/>
      </w:pPr>
      <w:r>
        <w:rPr>
          <w:i/>
        </w:rPr>
        <w:t>Table A.28: Human evaluation of empathy in published work and in this thesis (human empathy studies compared with ours, in Section 5.5.1).</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A.29: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A.30: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A.31: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A.32: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A.33: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A.34: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