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 Tables carrying a letter, such as Table A.7, are the supporting tables collected in the appendix; every claim in this chapter can be read without them.</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Table 5.1 is the scoreboard for the chapter, and its seven columns are used throughout. </w:t>
      </w:r>
      <w:r>
        <w:rPr>
          <w:b/>
        </w:rPr>
        <w:t>Ack</w:t>
      </w:r>
      <w:r>
        <w:t xml:space="preserve"> is the share of replies that acknowledge the feeling, from a keyword check; </w:t>
      </w:r>
      <w:r>
        <w:rPr>
          <w:b/>
        </w:rPr>
        <w:t>one question</w:t>
      </w:r>
      <w:r>
        <w:t xml:space="preserve"> the share asking exactly one; </w:t>
      </w:r>
      <w:r>
        <w:rPr>
          <w:b/>
        </w:rPr>
        <w:t>all rules</w:t>
      </w:r>
      <w:r>
        <w:t xml:space="preserve"> the share passing all three checks at once, which is the strictest column and the one quoted in the text. </w:t>
      </w:r>
      <w:r>
        <w:rPr>
          <w:b/>
        </w:rPr>
        <w:t>Mean words</w:t>
      </w:r>
      <w:r>
        <w:t xml:space="preserve"> is the average reply length, which matters because both the empathy classifier and the judges reward length (Section 5.4.4). </w:t>
      </w:r>
      <w:r>
        <w:rPr>
          <w:b/>
        </w:rPr>
        <w:t>WASSA empathy</w:t>
      </w:r>
      <w:r>
        <w:t xml:space="preserve"> is the 0-10 score of an independent empathy classifier, and </w:t>
      </w:r>
      <w:r>
        <w:rPr>
          <w:b/>
        </w:rPr>
        <w:t>emotion validation</w:t>
      </w:r>
      <w:r>
        <w:t xml:space="preserve"> the share of replies that, read back by the detector, express the conversation's true emotion.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[31].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Rules, Empathy and Emotional Fidelity</w:t>
      </w:r>
    </w:p>
    <w:p>
      <w:pPr>
        <w:spacing w:after="120"/>
      </w:pPr>
      <w:r>
        <w:t>Figure 5.1 carries the three headline measures for every system.</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from 66.3% acknowledgement, 92.7% exactly one question and 100% within the limit, averaging 57.1 words. Among systems of its own scale it sits behind top-1 Phi-4-mini prompting (65.3%) and the initial pipeline (63.7%), well ahead of the same-size single model (51.3%), the fine-tuned model (22.3%) and zero-shot prompting (19.0%); the largest single model leads at 82.3%. Two results are worth reading carefully. The fine-tuned model reproduces the style it was trained on rather than the behaviour the rules ask for, averaging 10.0 words and acknowledging the feeling in only 30.0% of replies, which is faithful learning, because the human listener replies it was trained on satisfy all three rules in 4.3% of cases. And Gemma-3-4B fails almost entirely (22.0%) not because its replies are poor but because it ignores the length limit at 133 words (Section 5.2.3).</w:t>
      </w:r>
    </w:p>
    <w:p>
      <w:pPr>
        <w:spacing w:after="120"/>
      </w:pPr>
      <w:r>
        <w:rPr>
          <w:b/>
        </w:rPr>
        <w:t>Empathy:</w:t>
      </w:r>
      <w:r>
        <w:t xml:space="preserve"> the empathy measure is not ours, and that is the point of using it. It is the hyy33 system from the WASSA 2024 shared task [17], [16], a transformer trained on conversation turns that people had rated for empathy, returning one score from 0 to 10. It shares no model family with any generator compared here, so it has no way to prefer our design, and Section 5.4.4 tests rather than assumes it. The final system scores </w:t>
      </w:r>
      <w:r>
        <w:rPr>
          <w:b/>
        </w:rPr>
        <w:t>5.05</w:t>
      </w:r>
      <w:r>
        <w:t>, the highest of any system no larger than Phi-4-mini, above the same-size single model (4.84), the initial pipeline (4.80) and zero-shot prompting (4.25); only Gemma-3-4B (5.30) and the 7.6-billion-parameter single model (5.76) score higher.</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r>
        <w:drawing>
          <wp:inline xmlns:a="http://schemas.openxmlformats.org/drawingml/2006/main" xmlns:pic="http://schemas.openxmlformats.org/drawingml/2006/picture">
            <wp:extent cx="5486400" cy="3168372"/>
            <wp:docPr id="1" name="Picture 1"/>
            <wp:cNvGraphicFramePr>
              <a:graphicFrameLocks noChangeAspect="1"/>
            </wp:cNvGraphicFramePr>
            <a:graphic>
              <a:graphicData uri="http://schemas.openxmlformats.org/drawingml/2006/picture">
                <pic:pic>
                  <pic:nvPicPr>
                    <pic:cNvPr id="0" name="fig_headline_scoreboard.png"/>
                    <pic:cNvPicPr/>
                  </pic:nvPicPr>
                  <pic:blipFill>
                    <a:blip r:embed="rId9"/>
                    <a:stretch>
                      <a:fillRect/>
                    </a:stretch>
                  </pic:blipFill>
                  <pic:spPr>
                    <a:xfrm>
                      <a:off x="0" y="0"/>
                      <a:ext cx="5486400" cy="3168372"/>
                    </a:xfrm>
                    <a:prstGeom prst="rect"/>
                  </pic:spPr>
                </pic:pic>
              </a:graphicData>
            </a:graphic>
          </wp:inline>
        </w:drawing>
      </w:r>
    </w:p>
    <w:p>
      <w:r>
        <w:rPr>
          <w:i/>
          <w:sz w:val="20"/>
        </w:rPr>
        <w:t>Figure 5.1: The three headline measures for every system: rule adherence, empathy with 95% confidence intervals, and emotion fidelity</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[15],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AI-Judge Panel</w:t>
      </w:r>
    </w:p>
    <w:p>
      <w:pPr>
        <w:spacing w:after="120"/>
      </w:pPr>
      <w:r>
        <w:rPr>
          <w:b/>
        </w:rPr>
        <w:t>Why these two models:</w:t>
      </w:r>
      <w:r>
        <w:t xml:space="preserve"> three requirements fixed the panel. A judge had to be flagship-scale, because only strong judges track human preference reliably [18]; it could not share a family with anything it judges, because LLM evaluators favour their own generations [33]; and one judge is not enough, because a panel from different developers shows less of any single model's bias [19].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w:t>
      </w:r>
    </w:p>
    <w:p>
      <w:pPr>
        <w:spacing w:after="120"/>
      </w:pPr>
      <w:r>
        <w:t>Each judge scores every reply from 1 to 10 for empathy, relevance and safety, and the panel score is the mean of the two. 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hardest; the final system scores 7.84, 8.45 and 9.76.</w:t>
      </w:r>
    </w:p>
    <w:p>
      <w:pPr>
        <w:spacing w:after="120"/>
      </w:pPr>
      <w:r>
        <w:rPr>
          <w:b/>
        </w:rPr>
        <w:t>How we checked that the scoring was fair:</w:t>
      </w:r>
      <w:r>
        <w:t xml:space="preserve"> Figure 5.2 prints the prompt a judge receives and the five controls around it. The judge sees the user's message and one reply and nothing else, so it cannot know which design wrote the text or whether that design is ours. Both judges scored all 512 replies, so no system was rated by a different judge from another. The rubric fixes what each band of the scale means, the temperature is zero so the same reply always receives the same score, and the answer is constrained to JSON with every parse recorded. Finally the judges are compared against each other rather than trusted: they agree at rho = 0.69 on empathy and order the eight systems the same way (Section 5.4.5).</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5.3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final system is third of eight, and that has to be read against what the panel can separate at all. The four leaders all use a generator of 3.8 billion parameters or more, lie within 0.22 points of one another, and none of the differences among them survives correction (Section 5.4.5); what the panel does separate is scale, since every system below them uses 1.5 billion parameters or fewer. The judges therefore rate the two-stage design and the same generator prompted directly as equal (8.68 against 8.78, p = 0.16), and the choice between them rests on the measures that do separate them (Section 5.5.5).</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5.2: Average AI-judge scores (1-10) by system</w:t>
      </w:r>
    </w:p>
    <w:p>
      <w:r>
        <w:drawing>
          <wp:inline xmlns:a="http://schemas.openxmlformats.org/drawingml/2006/main" xmlns:pic="http://schemas.openxmlformats.org/drawingml/2006/picture">
            <wp:extent cx="5486400" cy="5118838"/>
            <wp:docPr id="2" name="Picture 2"/>
            <wp:cNvGraphicFramePr>
              <a:graphicFrameLocks noChangeAspect="1"/>
            </wp:cNvGraphicFramePr>
            <a:graphic>
              <a:graphicData uri="http://schemas.openxmlformats.org/drawingml/2006/picture">
                <pic:pic>
                  <pic:nvPicPr>
                    <pic:cNvPr id="0" name="fig_judge_prompt.png"/>
                    <pic:cNvPicPr/>
                  </pic:nvPicPr>
                  <pic:blipFill>
                    <a:blip r:embed="rId10"/>
                    <a:stretch>
                      <a:fillRect/>
                    </a:stretch>
                  </pic:blipFill>
                  <pic:spPr>
                    <a:xfrm>
                      <a:off x="0" y="0"/>
                      <a:ext cx="5486400" cy="5118838"/>
                    </a:xfrm>
                    <a:prstGeom prst="rect"/>
                  </pic:spPr>
                </pic:pic>
              </a:graphicData>
            </a:graphic>
          </wp:inline>
        </w:drawing>
      </w:r>
    </w:p>
    <w:p>
      <w:r>
        <w:rPr>
          <w:i/>
          <w:sz w:val="20"/>
        </w:rPr>
        <w:t>Figure 5.2: The prompt each judge receives, and the controls that keep the scoring fair</w:t>
      </w:r>
    </w:p>
    <w:p>
      <w:r>
        <w:drawing>
          <wp:inline xmlns:a="http://schemas.openxmlformats.org/drawingml/2006/main" xmlns:pic="http://schemas.openxmlformats.org/drawingml/2006/picture">
            <wp:extent cx="5486400" cy="3989857"/>
            <wp:docPr id="3" name="Picture 3"/>
            <wp:cNvGraphicFramePr>
              <a:graphicFrameLocks noChangeAspect="1"/>
            </wp:cNvGraphicFramePr>
            <a:graphic>
              <a:graphicData uri="http://schemas.openxmlformats.org/drawingml/2006/picture">
                <pic:pic>
                  <pic:nvPicPr>
                    <pic:cNvPr id="0" name="fig_judge_emotion_coverage.png"/>
                    <pic:cNvPicPr/>
                  </pic:nvPicPr>
                  <pic:blipFill>
                    <a:blip r:embed="rId11"/>
                    <a:stretch>
                      <a:fillRect/>
                    </a:stretch>
                  </pic:blipFill>
                  <pic:spPr>
                    <a:xfrm>
                      <a:off x="0" y="0"/>
                      <a:ext cx="5486400" cy="3989857"/>
                    </a:xfrm>
                    <a:prstGeom prst="rect"/>
                  </pic:spPr>
                </pic:pic>
              </a:graphicData>
            </a:graphic>
          </wp:inline>
        </w:drawing>
      </w:r>
    </w:p>
    <w:p>
      <w:r>
        <w:rPr>
          <w:i/>
          <w:sz w:val="20"/>
        </w:rPr>
        <w:t>Figure 5.3: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5.4):</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5.5):</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4" name="Picture 4"/>
            <wp:cNvGraphicFramePr>
              <a:graphicFrameLocks noChangeAspect="1"/>
            </wp:cNvGraphicFramePr>
            <a:graphic>
              <a:graphicData uri="http://schemas.openxmlformats.org/drawingml/2006/picture">
                <pic:pic>
                  <pic:nvPicPr>
                    <pic:cNvPr id="0" name="fig_demo_d1.png"/>
                    <pic:cNvPicPr/>
                  </pic:nvPicPr>
                  <pic:blipFill>
                    <a:blip r:embed="rId12"/>
                    <a:stretch>
                      <a:fillRect/>
                    </a:stretch>
                  </pic:blipFill>
                  <pic:spPr>
                    <a:xfrm>
                      <a:off x="0" y="0"/>
                      <a:ext cx="5486400" cy="2390152"/>
                    </a:xfrm>
                    <a:prstGeom prst="rect"/>
                  </pic:spPr>
                </pic:pic>
              </a:graphicData>
            </a:graphic>
          </wp:inline>
        </w:drawing>
      </w:r>
    </w:p>
    <w:p>
      <w:r>
        <w:rPr>
          <w:i/>
          <w:sz w:val="20"/>
        </w:rPr>
        <w:t>Figure 5.4: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5" name="Picture 5"/>
            <wp:cNvGraphicFramePr>
              <a:graphicFrameLocks noChangeAspect="1"/>
            </wp:cNvGraphicFramePr>
            <a:graphic>
              <a:graphicData uri="http://schemas.openxmlformats.org/drawingml/2006/picture">
                <pic:pic>
                  <pic:nvPicPr>
                    <pic:cNvPr id="0" name="fig_demo_agent.png"/>
                    <pic:cNvPicPr/>
                  </pic:nvPicPr>
                  <pic:blipFill>
                    <a:blip r:embed="rId13"/>
                    <a:stretch>
                      <a:fillRect/>
                    </a:stretch>
                  </pic:blipFill>
                  <pic:spPr>
                    <a:xfrm>
                      <a:off x="0" y="0"/>
                      <a:ext cx="5486400" cy="2683888"/>
                    </a:xfrm>
                    <a:prstGeom prst="rect"/>
                  </pic:spPr>
                </pic:pic>
              </a:graphicData>
            </a:graphic>
          </wp:inline>
        </w:drawing>
      </w:r>
    </w:p>
    <w:p>
      <w:r>
        <w:rPr>
          <w:i/>
          <w:sz w:val="20"/>
        </w:rPr>
        <w:t>Figure 5.5: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5.6,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6" name="Picture 6"/>
            <wp:cNvGraphicFramePr>
              <a:graphicFrameLocks noChangeAspect="1"/>
            </wp:cNvGraphicFramePr>
            <a:graphic>
              <a:graphicData uri="http://schemas.openxmlformats.org/drawingml/2006/picture">
                <pic:pic>
                  <pic:nvPicPr>
                    <pic:cNvPr id="0" name="fig_d1_backbone_comparison.png"/>
                    <pic:cNvPicPr/>
                  </pic:nvPicPr>
                  <pic:blipFill>
                    <a:blip r:embed="rId14"/>
                    <a:stretch>
                      <a:fillRect/>
                    </a:stretch>
                  </pic:blipFill>
                  <pic:spPr>
                    <a:xfrm>
                      <a:off x="0" y="0"/>
                      <a:ext cx="5486400" cy="2619563"/>
                    </a:xfrm>
                    <a:prstGeom prst="rect"/>
                  </pic:spPr>
                </pic:pic>
              </a:graphicData>
            </a:graphic>
          </wp:inline>
        </w:drawing>
      </w:r>
    </w:p>
    <w:p>
      <w:r>
        <w:rPr>
          <w:i/>
          <w:sz w:val="20"/>
        </w:rPr>
        <w:t>Figure 5.6: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[26]. At generation time the detector's emotion narrowed the pool to conversations carrying that emotion, the two most similar messages were retrieved by cosine similarity, and their human replies were pasted into the system prompt as worked examples above the same three rules [25].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well inside the confidence intervals of Figure 5.1, while the spread of its empathy scores is the widest of any system. Retrieval therefore cost 20 points of rule adherence and returned no measurable gain, which is why it was rejected before the judge panel was run; it is the one design in Table 5.1 the judges never scored, and its absence from the judge table and the composite follows from that rather than from selection.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Because the performance measures disagree with one another, Table A.17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w:t>
      </w:r>
    </w:p>
    <w:p>
      <w:pPr>
        <w:spacing w:after="120"/>
      </w:pPr>
      <w:r>
        <w:t xml:space="preserve">On that ranking the final system is </w:t>
      </w:r>
      <w:r>
        <w:rPr>
          <w:b/>
        </w:rPr>
        <w:t>second of eight</w:t>
      </w:r>
      <w:r>
        <w:t xml:space="preserve">, behind only the 7.6-billion-parameter single model, and </w:t>
      </w:r>
      <w:r>
        <w:rPr>
          <w:b/>
        </w:rPr>
        <w:t>first among the systems that fit the 8 GB budget set as requirement N1 in Section 3.1.2</w:t>
      </w:r>
      <w:r>
        <w:t>. The result does not rest on one favourable measure: dropping any single measure leaves it second or third, always behind the larger single model. A composite depends on what goes into it, so we report it as a summary and not as evidence in its own right; the per-measure comparisons in Sections 5.4.2 and 5.5.7, with their significance tests, remain the basis for every claim in this thesis.</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A.18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neighbouring fragments back into whole words, and passes only the highest-scoring 40% of tokens, as at most three phrases,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A.19),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 in the appendix.</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5.7 shows every comparison at once: the difference between the final system and each baseline on the three headline measures, with its confidence interval, coloured by whether it survives correction. Table A.20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7" name="Picture 7"/>
            <wp:cNvGraphicFramePr>
              <a:graphicFrameLocks noChangeAspect="1"/>
            </wp:cNvGraphicFramePr>
            <a:graphic>
              <a:graphicData uri="http://schemas.openxmlformats.org/drawingml/2006/picture">
                <pic:pic>
                  <pic:nvPicPr>
                    <pic:cNvPr id="0" name="fig_forest_effects.png"/>
                    <pic:cNvPicPr/>
                  </pic:nvPicPr>
                  <pic:blipFill>
                    <a:blip r:embed="rId15"/>
                    <a:stretch>
                      <a:fillRect/>
                    </a:stretch>
                  </pic:blipFill>
                  <pic:spPr>
                    <a:xfrm>
                      <a:off x="0" y="0"/>
                      <a:ext cx="5486400" cy="2924797"/>
                    </a:xfrm>
                    <a:prstGeom prst="rect"/>
                  </pic:spPr>
                </pic:pic>
              </a:graphicData>
            </a:graphic>
          </wp:inline>
        </w:drawing>
      </w:r>
    </w:p>
    <w:p>
      <w:r>
        <w:rPr>
          <w:i/>
          <w:sz w:val="20"/>
        </w:rPr>
        <w:t>Figure 5.7: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A.25).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w:t>
      </w:r>
    </w:p>
    <w:p>
      <w:pPr>
        <w:spacing w:after="120"/>
      </w:pPr>
      <w:r>
        <w:t>The panel itself holds up well.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every joint recognition-and-generation model listed, at 30.6-41.2% [7], [8], [11], [12], and the personality-aware models at 45.4-48.3% [29]; it is on par with RoBERTa-GPT2 at 51.5% [48].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A.33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5.8 shows the result measure by measure, and Table A.34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8" name="Picture 8"/>
            <wp:cNvGraphicFramePr>
              <a:graphicFrameLocks noChangeAspect="1"/>
            </wp:cNvGraphicFramePr>
            <a:graphic>
              <a:graphicData uri="http://schemas.openxmlformats.org/drawingml/2006/picture">
                <pic:pic>
                  <pic:nvPicPr>
                    <pic:cNvPr id="0" name="fig_decoupled_vs_single.png"/>
                    <pic:cNvPicPr/>
                  </pic:nvPicPr>
                  <pic:blipFill>
                    <a:blip r:embed="rId16"/>
                    <a:stretch>
                      <a:fillRect/>
                    </a:stretch>
                  </pic:blipFill>
                  <pic:spPr>
                    <a:xfrm>
                      <a:off x="0" y="0"/>
                      <a:ext cx="5486400" cy="2946202"/>
                    </a:xfrm>
                    <a:prstGeom prst="rect"/>
                  </pic:spPr>
                </pic:pic>
              </a:graphicData>
            </a:graphic>
          </wp:inline>
        </w:drawing>
      </w:r>
    </w:p>
    <w:p>
      <w:r>
        <w:rPr>
          <w:i/>
          <w:sz w:val="20"/>
        </w:rPr>
        <w:t>Figure 5.8: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for 97.5% of its judge score.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AI judges, overall (1-10)</w:t>
            </w:r>
          </w:p>
        </w:tc>
        <w:tc>
          <w:tcPr>
            <w:tcW w:type="dxa" w:w="2340"/>
          </w:tcPr>
          <w:p>
            <w:r/>
            <w:r>
              <w:rPr>
                <w:sz w:val="16"/>
              </w:rPr>
              <w:t>8.68</w:t>
            </w:r>
          </w:p>
        </w:tc>
        <w:tc>
          <w:tcPr>
            <w:tcW w:type="dxa" w:w="2340"/>
          </w:tcPr>
          <w:p>
            <w:r/>
            <w:r>
              <w:rPr>
                <w:sz w:val="16"/>
              </w:rPr>
              <w:t>8.78</w:t>
            </w:r>
          </w:p>
        </w:tc>
        <w:tc>
          <w:tcPr>
            <w:tcW w:type="dxa" w:w="2340"/>
          </w:tcPr>
          <w:p>
            <w:r/>
            <w:r>
              <w:rPr>
                <w:sz w:val="16"/>
              </w:rPr>
              <w:t>8.90</w:t>
            </w:r>
          </w:p>
        </w:tc>
      </w:tr>
      <w:tr>
        <w:tc>
          <w:tcPr>
            <w:tcW w:type="dxa" w:w="2340"/>
          </w:tcPr>
          <w:p>
            <w:r/>
            <w:r>
              <w:rPr>
                <w:sz w:val="16"/>
              </w:rPr>
              <w:t>AI judges, empathy (1-10)</w:t>
            </w:r>
          </w:p>
        </w:tc>
        <w:tc>
          <w:tcPr>
            <w:tcW w:type="dxa" w:w="2340"/>
          </w:tcPr>
          <w:p>
            <w:r/>
            <w:r>
              <w:rPr>
                <w:sz w:val="16"/>
              </w:rPr>
              <w:t>7.84</w:t>
            </w:r>
          </w:p>
        </w:tc>
        <w:tc>
          <w:tcPr>
            <w:tcW w:type="dxa" w:w="2340"/>
          </w:tcPr>
          <w:p>
            <w:r/>
            <w:r>
              <w:rPr>
                <w:sz w:val="16"/>
              </w:rPr>
              <w:t>8.04</w:t>
            </w:r>
          </w:p>
        </w:tc>
        <w:tc>
          <w:tcPr>
            <w:tcW w:type="dxa" w:w="2340"/>
          </w:tcPr>
          <w:p>
            <w:r/>
            <w:r>
              <w:rPr>
                <w:sz w:val="16"/>
              </w:rPr>
              <w:t>8.15</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t>
      </w:r>
    </w:p>
    <w:p>
      <w:pPr>
        <w:spacing w:after="120"/>
      </w:pPr>
      <w:r>
        <w:t>what the middle column establishes: the same generator alone scores 4.75 and 27.0%, and gains nothing on "</w:t>
      </w:r>
    </w:p>
    <w:p>
      <w:pPr>
        <w:spacing w:after="120"/>
      </w:pPr>
      <w:r>
        <w:t>either measure over the 1.5-billion-parameter single model (Section 5.5.5). The bigger single model remains "</w:t>
      </w:r>
    </w:p>
    <w:p>
      <w:pPr>
        <w:spacing w:after="120"/>
      </w:pPr>
      <w:r>
        <w:t>ahead on rules and on the empathy classifier, though the judges separate neither its empathy nor its overall "</w:t>
      </w:r>
    </w:p>
    <w:p>
      <w:pPr>
        <w:spacing w:after="120"/>
      </w:pPr>
      <w:r>
        <w:t>score from ours after correction. The case for decoupling is therefore not that separation beats scale. It is "</w:t>
      </w:r>
    </w:p>
    <w:p>
      <w:pPr>
        <w:spacing w:after="120"/>
      </w:pPr>
      <w:r>
        <w:t>that separation produces an emotional decision that is written down, at a size that fits the hardware most "</w:t>
      </w:r>
    </w:p>
    <w:p>
      <w:pPr>
        <w:spacing w:after="120"/>
      </w:pPr>
      <w:r>
        <w:t>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would not change the conclusion. </w:t>
      </w: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and when components must be replaceable one at a time. The two are not exclusive, and combining the detector and per-emotion prompting with a larger generator is the most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and combine the detector and per-emotion prompting with a larger generator.</w:t>
      </w:r>
    </w:p>
    <w:p>
      <w:pPr>
        <w:spacing w:after="120"/>
      </w:pPr>
      <w:r>
        <w:rPr>
          <w:b/>
        </w:rPr>
        <w:t>Beyond English:</w:t>
      </w:r>
      <w:r>
        <w:t xml:space="preserve"> Everything here is English, because the corpus is English and both models were pre-trained mostly on English text, so none of it should be assumed to hold for someone writing in another language. Extending the work is the next substantial piece, in three steps: collect or adapt labelled emotional conversations in Bangla, including the code-mixed Bangla-English people here actually type; retrain the detector from a multilingual encoder, which is cheap because only 125 million parameters sit behind it;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with mental-health professionals;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