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1"/>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[7]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1"/>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4.4). This design was rejected for two reasons: it was trained on the wrong kind of text, and a left-to-right decoder is a weaker architecture for classification than a bidirectional encoder [5].</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4.4: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4.5, Figure 4.3). BERT-base [5] reaches 48.8% top-1 and 81.7% top-5 accuracy, ELECTRA-base 50.2% and 82.7%, and RoBERTa-base [6] 50.1% and 85.0%. The three base-sized models are statistically tied on top-1 accuracy, but RoBERTa-base is significantly better than both of the others on top-5 accuracy (Table 5.15).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5.3),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4.5: Comparison of detector models trained under identical settings</w:t>
      </w:r>
    </w:p>
    <w:p>
      <w:r>
        <w:drawing>
          <wp:inline xmlns:a="http://schemas.openxmlformats.org/drawingml/2006/main" xmlns:pic="http://schemas.openxmlformats.org/drawingml/2006/picture">
            <wp:extent cx="5486400" cy="2619563"/>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1"/>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4.6). </w:t>
      </w:r>
      <w:r>
        <w:rPr>
          <w:b/>
        </w:rPr>
        <w:t>Qwen2.5-1.5B-Instruct</w:t>
      </w:r>
      <w:r>
        <w:t xml:space="preserve"> [8],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4.6: Generator candidates with the detector, prompt and conversations held fixed</w:t>
      </w:r>
    </w:p>
    <w:p>
      <w:pPr>
        <w:pStyle w:val="Heading1"/>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4.7).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4.7: Alternative ways of passing the detector's output to the generator</w:t>
      </w:r>
    </w:p>
    <w:p>
      <w:pPr>
        <w:pStyle w:val="Heading1"/>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[10]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adopted the dataset's short, casual listener style and rarely acknowledged the user's feeling, the zero-shot model rarely asked the single required question, the same-size single model trailed the decoupled designs, and the larger single model performed best overall.</w:t>
      </w:r>
    </w:p>
    <w:p>
      <w:pPr>
        <w:spacing w:after="120"/>
      </w:pPr>
      <w:r>
        <w:t xml:space="preserve">Following the Pre-Thesis 2 panel's suggestion, we also simulated a </w:t>
      </w:r>
      <w:r>
        <w:rPr>
          <w:b/>
        </w:rPr>
        <w:t>retrieval-augmented</w:t>
      </w:r>
      <w:r>
        <w:t xml:space="preserve"> variant [11] that retrieves one or two similar training conversations with the same detected emotion, using all-MiniLM-L6-v2 sentence embeddings [12], and shows them to the generator as examples. Across two versions, retrieval reduced rule adherence from 63.7% to 54.3% and then to 43.7%, so it was not adopted (Table 4.8).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4.8: Effect of retrieval augmentation on rule adherence</w:t>
      </w:r>
    </w:p>
    <w:p>
      <w:pPr>
        <w:pStyle w:val="Heading1"/>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[44],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[40] returned none in our verification. We take the attention from the first token to every other token in the final layer [4],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[9],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Section 4.2.7 justifies each of these settings.</w:t>
      </w:r>
    </w:p>
    <w:p>
      <w:pPr>
        <w:pStyle w:val="Heading1"/>
      </w:pPr>
      <w:r>
        <w:t>4.2.7 Justification of Parameter Choices</w:t>
      </w:r>
    </w:p>
    <w:p>
      <w:pPr>
        <w:spacing w:after="120"/>
      </w:pPr>
      <w:r>
        <w:t>Every parameter of the final design, the baselines and the evaluation was fixed before the final comparison and is justified in Table 4.9 by one of three kinds of evidence: published practice, a measurement on our own data, or an explicit design or hardware constraint. Settings that were not tuned are identified as such.</w:t>
      </w:r>
    </w:p>
    <w:p>
      <w:pPr>
        <w:spacing w:after="120"/>
      </w:pPr>
      <w:r>
        <w:rPr>
          <w:b/>
        </w:rPr>
        <w:t>Detector.</w:t>
      </w:r>
      <w:r>
        <w:t xml:space="preserve"> The learning rate of 2e-5, effective batch size of 16 and limit of four epochs lie within the fine-tuning ranges recommended for BERT [5] and used for RoBERTa [6], and the 6% linear warm-up follows RoBERTa's fine-tuning setting; without warm-up, our RoBERTa-large run diverged to 5.0% accuracy. The best checkpoint is selected by validation accuracy with early stopping, which prevents over-fitting. The maximum input length of 128 tokens covers 99.7% of first utterances, whose mean length is 46.5 tokens.</w:t>
      </w:r>
    </w:p>
    <w:p>
      <w:pPr>
        <w:spacing w:after="120"/>
      </w:pPr>
      <w:r>
        <w:rPr>
          <w:b/>
        </w:rPr>
        <w:t>Generator.</w:t>
      </w:r>
      <w:r>
        <w:t xml:space="preserve"> Four-bit NF4 quantisation preserves the quality of 16-bit models while reducing memory about fourfold [9]; the final system's measured peak use is 3.40 GB. Sampling uses nucleus sampling with top-p 0.9, which avoids the repetitive, degenerate text produced by greedy or beam decoding [45], and a temperature of 0.7, the developer's default for Qwen2.5-Instruct. These values are identical for every system, so that differences between systems arise from their design rather than from decoding. The limit of 250 new tokens is well above the prompt's request for under 100 words: the longest final-system reply is 119 tokens, so no reply is truncated. Passing the three most probable emotions to stage 1 is justified by the detector's accuracy: the true emotion is among the top three in 76.5% of messages, against 50.3% for the top prediction.</w:t>
      </w:r>
    </w:p>
    <w:p>
      <w:pPr>
        <w:spacing w:after="120"/>
      </w:pPr>
      <w:r>
        <w:rPr>
          <w:b/>
        </w:rPr>
        <w:t>Conversational agent.</w:t>
      </w:r>
      <w:r>
        <w:t xml:space="preserve"> The detector reads the last four user turns because conversational context matters for emotion recognition [44], and four turns performed best or joint best in three of four long test scenarios. The generator keeps the last ten exchanges verbatim, a design choice that avoids losing emotional detail through summarisation.</w:t>
      </w:r>
    </w:p>
    <w:p>
      <w:pPr>
        <w:spacing w:after="120"/>
      </w:pPr>
      <w:r>
        <w:rPr>
          <w:b/>
        </w:rPr>
        <w:t>LoRA baseline.</w:t>
      </w:r>
      <w:r>
        <w:t xml:space="preserve"> The corrected monolithic baseline uses rank 16 and alpha 32 on the attention projections, following the observation that low ranks suffice to adapt attention weights [10], together with a learning rate of 2e-4, dropout of 0.1 and weight decay of 0.01, the values used for LoRA fine-tuning of GPT-2 and for QLoRA on models of up to 13 billion parameters [10], [9]. Its padding token is Qwen's own end-of-text token: using the end-of-turn token as padding, as in the original run, removes that token from the loss and the model never learns to stop (Section 5.2.5).</w:t>
      </w:r>
    </w:p>
    <w:p>
      <w:pPr>
        <w:spacing w:after="120"/>
      </w:pPr>
      <w:r>
        <w:rPr>
          <w:b/>
        </w:rPr>
        <w:t>Evaluation.</w:t>
      </w:r>
      <w:r>
        <w:t xml:space="preserve"> AI judges score at temperature 0 on 64 conversations, the shortest and longest message for each emotion, which covers every emotion within the free tier's daily limit; the judges come from developers unrelated to our models [34], [35]. Paired comparisons use McNemar's exact test [16] and the Wilcoxon signed-rank test [17], confidence intervals use 10,000 bootstrap resamples, above the 1,000 recommended for percentile intervals [18], and the Holm procedure controls the family-wise error rate with more power than a Bonferroni correction [19].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5.5)</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4.6)</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5.26)</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r>
        <w:rPr>
          <w:i/>
          <w:sz w:val="20"/>
        </w:rPr>
        <w:t>Table 4.9: Every parameter used in this work, its value, justification and evidence</w:t>
      </w:r>
    </w:p>
    <w:p>
      <w:pPr>
        <w:pStyle w:val="Heading1"/>
      </w:pPr>
      <w:r>
        <w:t>4.2.8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[44] S. Poria, N. Majumder, R. Mihalcea, and E. Hovy, "Emotion recognition in conversation: Research challenges, datasets, and recent advances," IEEE Access, vol. 7, pp. 100943-100953, 2019, doi: 10.1109/ACCESS.2019.2929050.</w:t>
      </w:r>
    </w:p>
    <w:p>
      <w:pPr>
        <w:ind w:left="576" w:hanging="576"/>
      </w:pPr>
      <w:r>
        <w:rPr>
          <w:sz w:val="20"/>
        </w:rPr>
        <w:t>[45] A. Holtzman, J. Buys, L. Du, C. Fang, and Y. Choi, "The curious case of neural text degeneration," in Proc. Int. Conf. Learning Representations (ICLR),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