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Mistral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 Mistral for 5 systems)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5.4.7),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responds considerably more slowly, </w:t>
      </w:r>
      <w:r>
        <w:rPr>
          <w:b/>
          <w:color w:val="B03A00"/>
        </w:rPr>
        <w:t>[[TEAM TO FILL: measured response time if the demonstration is deployed; otherwise state that latency was not measured]]</w:t>
      </w:r>
      <w:r>
        <w:t>.</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