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5.4.5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Sub-word pieces are merged back into whole words by summing their scores, the special tokens are discarded, and the highest-scoring 40% of words are kept, with a floor of three and a ceiling of fourteen so that neither very short nor very long messages produce a useless cue list. The result is a handful of words such as "moved away" or "my dog",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5.3.2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t xml:space="preserve">Figure 4.5 prints that prompt exactly as the generator receives it, for a message read as </w:t>
      </w:r>
      <w:r>
        <w:rPr>
          <w:i/>
        </w:rPr>
        <w:t>lonely</w:t>
      </w:r>
      <w:r>
        <w:t>, so that the wording can be checked rather than described.</w:t>
      </w:r>
    </w:p>
    <w:p>
      <w:r>
        <w:drawing>
          <wp:inline xmlns:a="http://schemas.openxmlformats.org/drawingml/2006/main" xmlns:pic="http://schemas.openxmlformats.org/drawingml/2006/picture">
            <wp:extent cx="5486400" cy="2913468"/>
            <wp:docPr id="5" name="Picture 5"/>
            <wp:cNvGraphicFramePr>
              <a:graphicFrameLocks noChangeAspect="1"/>
            </wp:cNvGraphicFramePr>
            <a:graphic>
              <a:graphicData uri="http://schemas.openxmlformats.org/drawingml/2006/picture">
                <pic:pic>
                  <pic:nvPicPr>
                    <pic:cNvPr id="0" name="fig_pipeline_prompt.png"/>
                    <pic:cNvPicPr/>
                  </pic:nvPicPr>
                  <pic:blipFill>
                    <a:blip r:embed="rId13"/>
                    <a:stretch>
                      <a:fillRect/>
                    </a:stretch>
                  </pic:blipFill>
                  <pic:spPr>
                    <a:xfrm>
                      <a:off x="0" y="0"/>
                      <a:ext cx="5486400" cy="2913468"/>
                    </a:xfrm>
                    <a:prstGeom prst="rect"/>
                  </pic:spPr>
                </pic:pic>
              </a:graphicData>
            </a:graphic>
          </wp:inline>
        </w:drawing>
      </w:r>
    </w:p>
    <w:p>
      <w:r>
        <w:rPr>
          <w:i/>
          <w:sz w:val="20"/>
        </w:rPr>
        <w:t>Figure 4.5: The system prompt as the generator actually receives it</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4.6 shows the path from those files to the four datasets this work actually uses.</w:t>
      </w:r>
    </w:p>
    <w:p>
      <w:r>
        <w:drawing>
          <wp:inline xmlns:a="http://schemas.openxmlformats.org/drawingml/2006/main" xmlns:pic="http://schemas.openxmlformats.org/drawingml/2006/picture">
            <wp:extent cx="5486400" cy="3632597"/>
            <wp:docPr id="6" name="Picture 6"/>
            <wp:cNvGraphicFramePr>
              <a:graphicFrameLocks noChangeAspect="1"/>
            </wp:cNvGraphicFramePr>
            <a:graphic>
              <a:graphicData uri="http://schemas.openxmlformats.org/drawingml/2006/picture">
                <pic:pic>
                  <pic:nvPicPr>
                    <pic:cNvPr id="0" name="fig_data_pipeline.png"/>
                    <pic:cNvPicPr/>
                  </pic:nvPicPr>
                  <pic:blipFill>
                    <a:blip r:embed="rId14"/>
                    <a:stretch>
                      <a:fillRect/>
                    </a:stretch>
                  </pic:blipFill>
                  <pic:spPr>
                    <a:xfrm>
                      <a:off x="0" y="0"/>
                      <a:ext cx="5486400" cy="3632597"/>
                    </a:xfrm>
                    <a:prstGeom prst="rect"/>
                  </pic:spPr>
                </pic:pic>
              </a:graphicData>
            </a:graphic>
          </wp:inline>
        </w:drawing>
      </w:r>
    </w:p>
    <w:p>
      <w:r>
        <w:rPr>
          <w:i/>
          <w:sz w:val="20"/>
        </w:rPr>
        <w:t>Figure 4.6: From the released corpus to the datasets used in this work</w:t>
      </w:r>
    </w:p>
    <w:p>
      <w:pPr>
        <w:spacing w:after="120"/>
      </w:pPr>
      <w:r>
        <w:rPr>
          <w:b/>
        </w:rPr>
        <w:t>Why not GoEmotions:</w:t>
      </w:r>
      <w:r>
        <w:t xml:space="preserve"> the project began on GoEmotions [42], and the first months went into preparing it: 54,263 Reddit comments across 27 emotions and a neutral class, processed into a 28-label multi-label set, analysed, and then rewritten into dialogue form with templated replies. It was abandoned for four reasons, each measured on that prepared data rather than assumed.</w:t>
      </w:r>
    </w:p>
    <w:p>
      <w:pPr>
        <w:spacing w:after="120"/>
      </w:pPr>
      <w:r>
        <w:t xml:space="preserve">1. </w:t>
      </w:r>
      <w:r>
        <w:rPr>
          <w:b/>
        </w:rPr>
        <w:t>It contains no replies:</w:t>
      </w:r>
      <w:r>
        <w:t xml:space="preserve"> A comment carries a label and nothing else, so there is nothing to train or evaluate a response generator against. The replies we produced for it were written from our own templates, which means any system trained on them would only be learning our wording back.</w:t>
      </w:r>
    </w:p>
    <w:p>
      <w:pPr>
        <w:spacing w:after="120"/>
      </w:pPr>
      <w:r>
        <w:t xml:space="preserve">2. </w:t>
      </w:r>
      <w:r>
        <w:rPr>
          <w:b/>
        </w:rPr>
        <w:t>A third of it has no emotion to answer:</w:t>
      </w:r>
      <w:r>
        <w:t xml:space="preserve"> </w:t>
      </w:r>
      <w:r>
        <w:rPr>
          <w:i/>
        </w:rPr>
        <w:t>Neutral</w:t>
      </w:r>
      <w:r>
        <w:t xml:space="preserve"> is the largest class at 32.75% of the corpus. A support system is not asked to respond to 18,000 neutral comments.</w:t>
      </w:r>
    </w:p>
    <w:p>
      <w:pPr>
        <w:spacing w:after="120"/>
      </w:pPr>
      <w:r>
        <w:t xml:space="preserve">3. </w:t>
      </w:r>
      <w:r>
        <w:rPr>
          <w:b/>
        </w:rPr>
        <w:t>The emotions it does carry are the wrong ones:</w:t>
      </w:r>
      <w:r>
        <w:t xml:space="preserve"> Its frequent classes are reactions to online comments, with </w:t>
      </w:r>
      <w:r>
        <w:rPr>
          <w:i/>
        </w:rPr>
        <w:t>admiration</w:t>
      </w:r>
      <w:r>
        <w:t xml:space="preserve"> at 9.4%, </w:t>
      </w:r>
      <w:r>
        <w:rPr>
          <w:i/>
        </w:rPr>
        <w:t>approval</w:t>
      </w:r>
      <w:r>
        <w:t xml:space="preserve"> at 6.8% and </w:t>
      </w:r>
      <w:r>
        <w:rPr>
          <w:i/>
        </w:rPr>
        <w:t>amusement</w:t>
      </w:r>
      <w:r>
        <w:t xml:space="preserve"> at 5.3%, while the states a support conversation actually has to answer are its rarest: </w:t>
      </w:r>
      <w:r>
        <w:rPr>
          <w:i/>
        </w:rPr>
        <w:t>grief</w:t>
      </w:r>
      <w:r>
        <w:t xml:space="preserve"> appears 96 times against </w:t>
      </w:r>
      <w:r>
        <w:rPr>
          <w:i/>
        </w:rPr>
        <w:t>admiration</w:t>
      </w:r>
      <w:r>
        <w:t xml:space="preserve">'s 5,122, a ratio of 53 to 1, and the set has no </w:t>
      </w:r>
      <w:r>
        <w:rPr>
          <w:i/>
        </w:rPr>
        <w:t>lonely</w:t>
      </w:r>
      <w:r>
        <w:t xml:space="preserve">, </w:t>
      </w:r>
      <w:r>
        <w:rPr>
          <w:i/>
        </w:rPr>
        <w:t>devastated</w:t>
      </w:r>
      <w:r>
        <w:t xml:space="preserve">, </w:t>
      </w:r>
      <w:r>
        <w:rPr>
          <w:i/>
        </w:rPr>
        <w:t>terrified</w:t>
      </w:r>
      <w:r>
        <w:t xml:space="preserve"> or </w:t>
      </w:r>
      <w:r>
        <w:rPr>
          <w:i/>
        </w:rPr>
        <w:t>apprehensive</w:t>
      </w:r>
      <w:r>
        <w:t xml:space="preserve"> at all.</w:t>
      </w:r>
    </w:p>
    <w:p>
      <w:pPr>
        <w:spacing w:after="120"/>
      </w:pPr>
      <w:r>
        <w:t xml:space="preserve">4. </w:t>
      </w:r>
      <w:r>
        <w:rPr>
          <w:b/>
        </w:rPr>
        <w:t>Its labels overlap:</w:t>
      </w:r>
      <w:r>
        <w:t xml:space="preserve"> 16.25% of examples carry more than one emotion, with </w:t>
      </w:r>
      <w:r>
        <w:rPr>
          <w:i/>
        </w:rPr>
        <w:t>anger</w:t>
      </w:r>
      <w:r>
        <w:t xml:space="preserve"> and </w:t>
      </w:r>
      <w:r>
        <w:rPr>
          <w:i/>
        </w:rPr>
        <w:t>annoyance</w:t>
      </w:r>
      <w:r>
        <w:t xml:space="preserve"> the most common pair, which does not fit a design that conditions one reply on one feeling.</w:t>
      </w:r>
    </w:p>
    <w:p>
      <w:pPr>
        <w:spacing w:after="120"/>
      </w:pPr>
      <w:r>
        <w:t>EmpatheticDialogues answers all four: every conversation is a first-person disclosure written to be replied to, it comes with the listener's reply, it carries exactly one of 32 emotions chosen by the speaker before writing, and those 32 are the states a support conversation is made of. The GoEmotions work is kept in the repository, and the change of corpus is the reason the project's own labels are the 32 used throughout this thesis rather than the 28 of the earlier plan.</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Figure 4.7 shows one conversation before and after the whole of this preparation, with the released rows on one side and the single labelled message that reaches the detector on the other.</w:t>
      </w:r>
    </w:p>
    <w:p>
      <w:r>
        <w:drawing>
          <wp:inline xmlns:a="http://schemas.openxmlformats.org/drawingml/2006/main" xmlns:pic="http://schemas.openxmlformats.org/drawingml/2006/picture">
            <wp:extent cx="5486400" cy="4135070"/>
            <wp:docPr id="7" name="Picture 7"/>
            <wp:cNvGraphicFramePr>
              <a:graphicFrameLocks noChangeAspect="1"/>
            </wp:cNvGraphicFramePr>
            <a:graphic>
              <a:graphicData uri="http://schemas.openxmlformats.org/drawingml/2006/picture">
                <pic:pic>
                  <pic:nvPicPr>
                    <pic:cNvPr id="0" name="fig_preprocessing.png"/>
                    <pic:cNvPicPr/>
                  </pic:nvPicPr>
                  <pic:blipFill>
                    <a:blip r:embed="rId15"/>
                    <a:stretch>
                      <a:fillRect/>
                    </a:stretch>
                  </pic:blipFill>
                  <pic:spPr>
                    <a:xfrm>
                      <a:off x="0" y="0"/>
                      <a:ext cx="5486400" cy="4135070"/>
                    </a:xfrm>
                    <a:prstGeom prst="rect"/>
                  </pic:spPr>
                </pic:pic>
              </a:graphicData>
            </a:graphic>
          </wp:inline>
        </w:drawing>
      </w:r>
    </w:p>
    <w:p>
      <w:r>
        <w:rPr>
          <w:i/>
          <w:sz w:val="20"/>
        </w:rPr>
        <w:t>Figure 4.7: One conversation before and after preparation</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5.3.3).</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 The complete listing, with the justification and the evidence for each value, is given in Table A.6, which is in the appendix at the end of this report.</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