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1909" w:h="16834"/>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and a blind two-judge LLM panel, using paired tests with Holm correction. The decoupled system (4.0B parameters) is significantly more empathetic and emotionally faithful than a 1.5B single model, and, at an equal generator, significantly more emotionally faithful and higher on the empathy classifier than that generator used alone, but a 7.6B single model remains stronger on rule adherence and on the empathy classifier; with 52% of its parameters and 38% less GPU memory, at a similar response time, our system reaches 97.5% of its overall AI-judge score. Three analyses show that detection accuracy is not the bottleneck: incorrect labels cause no significant degradation, a more accurate detector brings no significant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and a blind LLM-judge panel) with paired significance tests and correction for multiple comparisons, including negative results for retrieval augmentation and for end-to-end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it (R1) acknowledges the feeling, (R2) asks exactly one question and (R3) stays within 120 words. R1 and R2 correspond to the </w:t>
      </w:r>
      <w:r>
        <w:rPr>
          <w:rFonts w:ascii="Times New Roman" w:hAnsi="Times New Roman"/>
          <w:i/>
          <w:sz w:val="20"/>
        </w:rPr>
        <w:t>emotional reactions</w:t>
      </w:r>
      <w:r>
        <w:rPr>
          <w:rFonts w:ascii="Times New Roman" w:hAnsi="Times New Roman"/>
          <w:sz w:val="20"/>
        </w:rPr>
        <w:t xml:space="preserve"> and </w:t>
      </w:r>
      <w:r>
        <w:rPr>
          <w:rFonts w:ascii="Times New Roman" w:hAnsi="Times New Roman"/>
          <w:i/>
          <w:sz w:val="20"/>
        </w:rPr>
        <w:t>explorations</w:t>
      </w:r>
      <w:r>
        <w:rPr>
          <w:rFonts w:ascii="Times New Roman" w:hAnsi="Times New Roman"/>
          <w:sz w:val="20"/>
        </w:rPr>
        <w:t xml:space="preserve"> mechanisms of empathy in text-based support [18], while asking several questions is the question-answer trap that counselling guidance warns against [19]. Within systems, replies with an acknowledgement score 0.36 points higher on WASSA (p &lt; 0.001) and replies within the length limit score 0.65 points higher on judged empathy (p = 0.006); the one-question rule is not rewarded by either measure and is justified as a usability requirement. The rules are not satisfied by imitating the data: real ED listener replies acknowledge the feeling in only 10.6% of cases and meet all three rules in 4.3%.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[20]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2.9 points higher,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[21] (3.8B) loaded with 4-bit NF4 quantisation [22]. It was selected in a bake-off against Qwen2.5-1.5B [23]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[24] (rank 16, alpha 32, learning rate 2e-4, dropout 0.1, best epoch by validation loss).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[25]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[26],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256 replies it scored of systems still in the comparison, the two- and three-judge averages correlate at Spearman ρ = 0.97 with identical system rankings.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[27], the Wilcoxon signed-rank test for scores [28] and 95% bootstrap confidence intervals from 10,000 resamples [29]. P-values are Holm-corrected [30]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[31] and Hugging Face Transformers [32]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1909" w:h="16834"/>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 n/a = system not covered by the judge panel.</w:t>
      </w:r>
    </w:p>
    <w:tbl>
      <w:tblPr>
        <w:tblStyle w:val="TableGrid"/>
        <w:tblW w:type="auto" w:w="0"/>
        <w:jc w:val="center"/>
        <w:tblLayout w:type="fixed"/>
        <w:tblLook w:firstColumn="1" w:firstRow="1" w:lastColumn="0" w:lastRow="0" w:noHBand="0" w:noVBand="1" w:val="04A0"/>
      </w:tblPr>
      <w:tblGrid>
        <w:gridCol w:w="1123"/>
        <w:gridCol w:w="1123"/>
        <w:gridCol w:w="1123"/>
        <w:gridCol w:w="1123"/>
        <w:gridCol w:w="1123"/>
        <w:gridCol w:w="1123"/>
        <w:gridCol w:w="1123"/>
        <w:gridCol w:w="1123"/>
        <w:gridCol w:w="1123"/>
      </w:tblGrid>
      <w:tr>
        <w:tc>
          <w:tcPr>
            <w:tcW w:type="dxa" w:w="4477"/>
          </w:tcPr>
          <w:p>
            <w:pPr>
              <w:spacing w:before="0" w:after="0" w:line="240" w:lineRule="auto"/>
              <w:ind w:firstLine="0"/>
              <w:jc w:val="left"/>
            </w:pPr>
            <w:r/>
            <w:r>
              <w:rPr>
                <w:rFonts w:ascii="Times New Roman" w:hAnsi="Times New Roman"/>
                <w:b/>
                <w:sz w:val="16"/>
              </w:rPr>
              <w:t>System</w:t>
            </w:r>
          </w:p>
        </w:tc>
        <w:tc>
          <w:tcPr>
            <w:tcW w:type="dxa" w:w="707"/>
          </w:tcPr>
          <w:p>
            <w:pPr>
              <w:spacing w:before="0" w:after="0" w:line="240" w:lineRule="auto"/>
              <w:ind w:firstLine="0"/>
              <w:jc w:val="center"/>
            </w:pPr>
            <w:r/>
            <w:r>
              <w:rPr>
                <w:rFonts w:ascii="Times New Roman" w:hAnsi="Times New Roman"/>
                <w:b/>
                <w:sz w:val="16"/>
              </w:rPr>
              <w:t>Params</w:t>
            </w:r>
          </w:p>
        </w:tc>
        <w:tc>
          <w:tcPr>
            <w:tcW w:type="dxa" w:w="1060"/>
          </w:tcPr>
          <w:p>
            <w:pPr>
              <w:spacing w:before="0" w:after="0" w:line="240" w:lineRule="auto"/>
              <w:ind w:firstLine="0"/>
              <w:jc w:val="center"/>
            </w:pPr>
            <w:r/>
            <w:r>
              <w:rPr>
                <w:rFonts w:ascii="Times New Roman" w:hAnsi="Times New Roman"/>
                <w:b/>
                <w:sz w:val="16"/>
              </w:rPr>
              <w:t>Rules (%)</w:t>
            </w:r>
          </w:p>
        </w:tc>
        <w:tc>
          <w:tcPr>
            <w:tcW w:type="dxa" w:w="825"/>
          </w:tcPr>
          <w:p>
            <w:pPr>
              <w:spacing w:before="0" w:after="0" w:line="240" w:lineRule="auto"/>
              <w:ind w:firstLine="0"/>
              <w:jc w:val="center"/>
            </w:pPr>
            <w:r/>
            <w:r>
              <w:rPr>
                <w:rFonts w:ascii="Times New Roman" w:hAnsi="Times New Roman"/>
                <w:b/>
                <w:sz w:val="16"/>
              </w:rPr>
              <w:t>1 Q (%)</w:t>
            </w:r>
          </w:p>
        </w:tc>
        <w:tc>
          <w:tcPr>
            <w:tcW w:type="dxa" w:w="589"/>
          </w:tcPr>
          <w:p>
            <w:pPr>
              <w:spacing w:before="0" w:after="0" w:line="240" w:lineRule="auto"/>
              <w:ind w:firstLine="0"/>
              <w:jc w:val="center"/>
            </w:pPr>
            <w:r/>
            <w:r>
              <w:rPr>
                <w:rFonts w:ascii="Times New Roman" w:hAnsi="Times New Roman"/>
                <w:b/>
                <w:sz w:val="16"/>
              </w:rPr>
              <w:t>Words</w:t>
            </w:r>
          </w:p>
        </w:tc>
        <w:tc>
          <w:tcPr>
            <w:tcW w:type="dxa" w:w="589"/>
          </w:tcPr>
          <w:p>
            <w:pPr>
              <w:spacing w:before="0" w:after="0" w:line="240" w:lineRule="auto"/>
              <w:ind w:firstLine="0"/>
              <w:jc w:val="center"/>
            </w:pPr>
            <w:r/>
            <w:r>
              <w:rPr>
                <w:rFonts w:ascii="Times New Roman" w:hAnsi="Times New Roman"/>
                <w:b/>
                <w:sz w:val="16"/>
              </w:rPr>
              <w:t>WASSA</w:t>
            </w:r>
          </w:p>
        </w:tc>
        <w:tc>
          <w:tcPr>
            <w:tcW w:type="dxa" w:w="943"/>
          </w:tcPr>
          <w:p>
            <w:pPr>
              <w:spacing w:before="0" w:after="0" w:line="240" w:lineRule="auto"/>
              <w:ind w:firstLine="0"/>
              <w:jc w:val="center"/>
            </w:pPr>
            <w:r/>
            <w:r>
              <w:rPr>
                <w:rFonts w:ascii="Times New Roman" w:hAnsi="Times New Roman"/>
                <w:b/>
                <w:sz w:val="16"/>
              </w:rPr>
              <w:t>Val. (%)</w:t>
            </w:r>
          </w:p>
        </w:tc>
        <w:tc>
          <w:tcPr>
            <w:tcW w:type="dxa" w:w="589"/>
          </w:tcPr>
          <w:p>
            <w:pPr>
              <w:spacing w:before="0" w:after="0" w:line="240" w:lineRule="auto"/>
              <w:ind w:firstLine="0"/>
              <w:jc w:val="center"/>
            </w:pPr>
            <w:r/>
            <w:r>
              <w:rPr>
                <w:rFonts w:ascii="Times New Roman" w:hAnsi="Times New Roman"/>
                <w:b/>
                <w:sz w:val="16"/>
              </w:rPr>
              <w:t>Emp.</w:t>
            </w:r>
          </w:p>
        </w:tc>
        <w:tc>
          <w:tcPr>
            <w:tcW w:type="dxa" w:w="589"/>
          </w:tcPr>
          <w:p>
            <w:pPr>
              <w:spacing w:before="0" w:after="0" w:line="240" w:lineRule="auto"/>
              <w:ind w:firstLine="0"/>
              <w:jc w:val="center"/>
            </w:pPr>
            <w:r/>
            <w:r>
              <w:rPr>
                <w:rFonts w:ascii="Times New Roman" w:hAnsi="Times New Roman"/>
                <w:b/>
                <w:sz w:val="16"/>
              </w:rPr>
              <w:t>All</w:t>
            </w:r>
          </w:p>
        </w:tc>
      </w:tr>
      <w:tr>
        <w:tc>
          <w:tcPr>
            <w:tcW w:type="dxa" w:w="4477"/>
          </w:tcPr>
          <w:p>
            <w:pPr>
              <w:spacing w:before="0" w:after="0" w:line="240" w:lineRule="auto"/>
              <w:ind w:firstLine="0"/>
              <w:jc w:val="left"/>
            </w:pPr>
            <w:r/>
            <w:r>
              <w:rPr>
                <w:rFonts w:ascii="Times New Roman" w:hAnsi="Times New Roman"/>
                <w:sz w:val="16"/>
              </w:rPr>
              <w:t>Zero-shot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19.0</w:t>
            </w:r>
          </w:p>
        </w:tc>
        <w:tc>
          <w:tcPr>
            <w:tcW w:type="dxa" w:w="825"/>
          </w:tcPr>
          <w:p>
            <w:pPr>
              <w:spacing w:before="0" w:after="0" w:line="240" w:lineRule="auto"/>
              <w:ind w:firstLine="0"/>
              <w:jc w:val="center"/>
            </w:pPr>
            <w:r/>
            <w:r>
              <w:rPr>
                <w:rFonts w:ascii="Times New Roman" w:hAnsi="Times New Roman"/>
                <w:sz w:val="16"/>
              </w:rPr>
              <w:t>22.7</w:t>
            </w:r>
          </w:p>
        </w:tc>
        <w:tc>
          <w:tcPr>
            <w:tcW w:type="dxa" w:w="589"/>
          </w:tcPr>
          <w:p>
            <w:pPr>
              <w:spacing w:before="0" w:after="0" w:line="240" w:lineRule="auto"/>
              <w:ind w:firstLine="0"/>
              <w:jc w:val="center"/>
            </w:pPr>
            <w:r/>
            <w:r>
              <w:rPr>
                <w:rFonts w:ascii="Times New Roman" w:hAnsi="Times New Roman"/>
                <w:sz w:val="16"/>
              </w:rPr>
              <w:t>75.9</w:t>
            </w:r>
          </w:p>
        </w:tc>
        <w:tc>
          <w:tcPr>
            <w:tcW w:type="dxa" w:w="589"/>
          </w:tcPr>
          <w:p>
            <w:pPr>
              <w:spacing w:before="0" w:after="0" w:line="240" w:lineRule="auto"/>
              <w:ind w:firstLine="0"/>
              <w:jc w:val="center"/>
            </w:pPr>
            <w:r/>
            <w:r>
              <w:rPr>
                <w:rFonts w:ascii="Times New Roman" w:hAnsi="Times New Roman"/>
                <w:sz w:val="16"/>
              </w:rPr>
              <w:t>4.25</w:t>
            </w:r>
          </w:p>
        </w:tc>
        <w:tc>
          <w:tcPr>
            <w:tcW w:type="dxa" w:w="943"/>
          </w:tcPr>
          <w:p>
            <w:pPr>
              <w:spacing w:before="0" w:after="0" w:line="240" w:lineRule="auto"/>
              <w:ind w:firstLine="0"/>
              <w:jc w:val="center"/>
            </w:pPr>
            <w:r/>
            <w:r>
              <w:rPr>
                <w:rFonts w:ascii="Times New Roman" w:hAnsi="Times New Roman"/>
                <w:sz w:val="16"/>
              </w:rPr>
              <w:t>24.7</w:t>
            </w:r>
          </w:p>
        </w:tc>
        <w:tc>
          <w:tcPr>
            <w:tcW w:type="dxa" w:w="589"/>
          </w:tcPr>
          <w:p>
            <w:pPr>
              <w:spacing w:before="0" w:after="0" w:line="240" w:lineRule="auto"/>
              <w:ind w:firstLine="0"/>
              <w:jc w:val="center"/>
            </w:pPr>
            <w:r/>
            <w:r>
              <w:rPr>
                <w:rFonts w:ascii="Times New Roman" w:hAnsi="Times New Roman"/>
                <w:sz w:val="16"/>
              </w:rPr>
              <w:t>5.98</w:t>
            </w:r>
          </w:p>
        </w:tc>
        <w:tc>
          <w:tcPr>
            <w:tcW w:type="dxa" w:w="589"/>
          </w:tcPr>
          <w:p>
            <w:pPr>
              <w:spacing w:before="0" w:after="0" w:line="240" w:lineRule="auto"/>
              <w:ind w:firstLine="0"/>
              <w:jc w:val="center"/>
            </w:pPr>
            <w:r/>
            <w:r>
              <w:rPr>
                <w:rFonts w:ascii="Times New Roman" w:hAnsi="Times New Roman"/>
                <w:sz w:val="16"/>
              </w:rPr>
              <w:t>7.51</w:t>
            </w:r>
          </w:p>
        </w:tc>
      </w:tr>
      <w:tr>
        <w:tc>
          <w:tcPr>
            <w:tcW w:type="dxa" w:w="4477"/>
          </w:tcPr>
          <w:p>
            <w:pPr>
              <w:spacing w:before="0" w:after="0" w:line="240" w:lineRule="auto"/>
              <w:ind w:firstLine="0"/>
              <w:jc w:val="left"/>
            </w:pPr>
            <w:r/>
            <w:r>
              <w:rPr>
                <w:rFonts w:ascii="Times New Roman" w:hAnsi="Times New Roman"/>
                <w:sz w:val="16"/>
              </w:rPr>
              <w:t>Fine-tuned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22.3</w:t>
            </w:r>
          </w:p>
        </w:tc>
        <w:tc>
          <w:tcPr>
            <w:tcW w:type="dxa" w:w="825"/>
          </w:tcPr>
          <w:p>
            <w:pPr>
              <w:spacing w:before="0" w:after="0" w:line="240" w:lineRule="auto"/>
              <w:ind w:firstLine="0"/>
              <w:jc w:val="center"/>
            </w:pPr>
            <w:r/>
            <w:r>
              <w:rPr>
                <w:rFonts w:ascii="Times New Roman" w:hAnsi="Times New Roman"/>
                <w:sz w:val="16"/>
              </w:rPr>
              <w:t>74.0</w:t>
            </w:r>
          </w:p>
        </w:tc>
        <w:tc>
          <w:tcPr>
            <w:tcW w:type="dxa" w:w="589"/>
          </w:tcPr>
          <w:p>
            <w:pPr>
              <w:spacing w:before="0" w:after="0" w:line="240" w:lineRule="auto"/>
              <w:ind w:firstLine="0"/>
              <w:jc w:val="center"/>
            </w:pPr>
            <w:r/>
            <w:r>
              <w:rPr>
                <w:rFonts w:ascii="Times New Roman" w:hAnsi="Times New Roman"/>
                <w:sz w:val="16"/>
              </w:rPr>
              <w:t>10.0</w:t>
            </w:r>
          </w:p>
        </w:tc>
        <w:tc>
          <w:tcPr>
            <w:tcW w:type="dxa" w:w="589"/>
          </w:tcPr>
          <w:p>
            <w:pPr>
              <w:spacing w:before="0" w:after="0" w:line="240" w:lineRule="auto"/>
              <w:ind w:firstLine="0"/>
              <w:jc w:val="center"/>
            </w:pPr>
            <w:r/>
            <w:r>
              <w:rPr>
                <w:rFonts w:ascii="Times New Roman" w:hAnsi="Times New Roman"/>
                <w:sz w:val="16"/>
              </w:rPr>
              <w:t>3.36</w:t>
            </w:r>
          </w:p>
        </w:tc>
        <w:tc>
          <w:tcPr>
            <w:tcW w:type="dxa" w:w="943"/>
          </w:tcPr>
          <w:p>
            <w:pPr>
              <w:spacing w:before="0" w:after="0" w:line="240" w:lineRule="auto"/>
              <w:ind w:firstLine="0"/>
              <w:jc w:val="center"/>
            </w:pPr>
            <w:r/>
            <w:r>
              <w:rPr>
                <w:rFonts w:ascii="Times New Roman" w:hAnsi="Times New Roman"/>
                <w:sz w:val="16"/>
              </w:rPr>
              <w:t>18.3</w:t>
            </w:r>
          </w:p>
        </w:tc>
        <w:tc>
          <w:tcPr>
            <w:tcW w:type="dxa" w:w="589"/>
          </w:tcPr>
          <w:p>
            <w:pPr>
              <w:spacing w:before="0" w:after="0" w:line="240" w:lineRule="auto"/>
              <w:ind w:firstLine="0"/>
              <w:jc w:val="center"/>
            </w:pPr>
            <w:r/>
            <w:r>
              <w:rPr>
                <w:rFonts w:ascii="Times New Roman" w:hAnsi="Times New Roman"/>
                <w:sz w:val="16"/>
              </w:rPr>
              <w:t>3.88</w:t>
            </w:r>
          </w:p>
        </w:tc>
        <w:tc>
          <w:tcPr>
            <w:tcW w:type="dxa" w:w="589"/>
          </w:tcPr>
          <w:p>
            <w:pPr>
              <w:spacing w:before="0" w:after="0" w:line="240" w:lineRule="auto"/>
              <w:ind w:firstLine="0"/>
              <w:jc w:val="center"/>
            </w:pPr>
            <w:r/>
            <w:r>
              <w:rPr>
                <w:rFonts w:ascii="Times New Roman" w:hAnsi="Times New Roman"/>
                <w:sz w:val="16"/>
              </w:rPr>
              <w:t>5.96</w:t>
            </w:r>
          </w:p>
        </w:tc>
      </w:tr>
      <w:tr>
        <w:tc>
          <w:tcPr>
            <w:tcW w:type="dxa" w:w="4477"/>
          </w:tcPr>
          <w:p>
            <w:pPr>
              <w:spacing w:before="0" w:after="0" w:line="240" w:lineRule="auto"/>
              <w:ind w:firstLine="0"/>
              <w:jc w:val="left"/>
            </w:pPr>
            <w:r/>
            <w:r>
              <w:rPr>
                <w:rFonts w:ascii="Times New Roman" w:hAnsi="Times New Roman"/>
                <w:sz w:val="16"/>
              </w:rPr>
              <w:t>Single model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51.3</w:t>
            </w:r>
          </w:p>
        </w:tc>
        <w:tc>
          <w:tcPr>
            <w:tcW w:type="dxa" w:w="825"/>
          </w:tcPr>
          <w:p>
            <w:pPr>
              <w:spacing w:before="0" w:after="0" w:line="240" w:lineRule="auto"/>
              <w:ind w:firstLine="0"/>
              <w:jc w:val="center"/>
            </w:pPr>
            <w:r/>
            <w:r>
              <w:rPr>
                <w:rFonts w:ascii="Times New Roman" w:hAnsi="Times New Roman"/>
                <w:sz w:val="16"/>
              </w:rPr>
              <w:t>73.7</w:t>
            </w:r>
          </w:p>
        </w:tc>
        <w:tc>
          <w:tcPr>
            <w:tcW w:type="dxa" w:w="589"/>
          </w:tcPr>
          <w:p>
            <w:pPr>
              <w:spacing w:before="0" w:after="0" w:line="240" w:lineRule="auto"/>
              <w:ind w:firstLine="0"/>
              <w:jc w:val="center"/>
            </w:pPr>
            <w:r/>
            <w:r>
              <w:rPr>
                <w:rFonts w:ascii="Times New Roman" w:hAnsi="Times New Roman"/>
                <w:sz w:val="16"/>
              </w:rPr>
              <w:t>42.0</w:t>
            </w:r>
          </w:p>
        </w:tc>
        <w:tc>
          <w:tcPr>
            <w:tcW w:type="dxa" w:w="589"/>
          </w:tcPr>
          <w:p>
            <w:pPr>
              <w:spacing w:before="0" w:after="0" w:line="240" w:lineRule="auto"/>
              <w:ind w:firstLine="0"/>
              <w:jc w:val="center"/>
            </w:pPr>
            <w:r/>
            <w:r>
              <w:rPr>
                <w:rFonts w:ascii="Times New Roman" w:hAnsi="Times New Roman"/>
                <w:sz w:val="16"/>
              </w:rPr>
              <w:t>4.84</w:t>
            </w:r>
          </w:p>
        </w:tc>
        <w:tc>
          <w:tcPr>
            <w:tcW w:type="dxa" w:w="943"/>
          </w:tcPr>
          <w:p>
            <w:pPr>
              <w:spacing w:before="0" w:after="0" w:line="240" w:lineRule="auto"/>
              <w:ind w:firstLine="0"/>
              <w:jc w:val="center"/>
            </w:pPr>
            <w:r/>
            <w:r>
              <w:rPr>
                <w:rFonts w:ascii="Times New Roman" w:hAnsi="Times New Roman"/>
                <w:sz w:val="16"/>
              </w:rPr>
              <w:t>25.7</w:t>
            </w:r>
          </w:p>
        </w:tc>
        <w:tc>
          <w:tcPr>
            <w:tcW w:type="dxa" w:w="589"/>
          </w:tcPr>
          <w:p>
            <w:pPr>
              <w:spacing w:before="0" w:after="0" w:line="240" w:lineRule="auto"/>
              <w:ind w:firstLine="0"/>
              <w:jc w:val="center"/>
            </w:pPr>
            <w:r/>
            <w:r>
              <w:rPr>
                <w:rFonts w:ascii="Times New Roman" w:hAnsi="Times New Roman"/>
                <w:sz w:val="16"/>
              </w:rPr>
              <w:t>7.15</w:t>
            </w:r>
          </w:p>
        </w:tc>
        <w:tc>
          <w:tcPr>
            <w:tcW w:type="dxa" w:w="589"/>
          </w:tcPr>
          <w:p>
            <w:pPr>
              <w:spacing w:before="0" w:after="0" w:line="240" w:lineRule="auto"/>
              <w:ind w:firstLine="0"/>
              <w:jc w:val="center"/>
            </w:pPr>
            <w:r/>
            <w:r>
              <w:rPr>
                <w:rFonts w:ascii="Times New Roman" w:hAnsi="Times New Roman"/>
                <w:sz w:val="16"/>
              </w:rPr>
              <w:t>8.24</w:t>
            </w:r>
          </w:p>
        </w:tc>
      </w:tr>
      <w:tr>
        <w:tc>
          <w:tcPr>
            <w:tcW w:type="dxa" w:w="4477"/>
          </w:tcPr>
          <w:p>
            <w:pPr>
              <w:spacing w:before="0" w:after="0" w:line="240" w:lineRule="auto"/>
              <w:ind w:firstLine="0"/>
              <w:jc w:val="left"/>
            </w:pPr>
            <w:r/>
            <w:r>
              <w:rPr>
                <w:rFonts w:ascii="Times New Roman" w:hAnsi="Times New Roman"/>
                <w:sz w:val="16"/>
              </w:rPr>
              <w:t>Single model Phi-4-mini (our generator)</w:t>
            </w:r>
          </w:p>
        </w:tc>
        <w:tc>
          <w:tcPr>
            <w:tcW w:type="dxa" w:w="707"/>
          </w:tcPr>
          <w:p>
            <w:pPr>
              <w:spacing w:before="0" w:after="0" w:line="240" w:lineRule="auto"/>
              <w:ind w:firstLine="0"/>
              <w:jc w:val="center"/>
            </w:pPr>
            <w:r/>
            <w:r>
              <w:rPr>
                <w:rFonts w:ascii="Times New Roman" w:hAnsi="Times New Roman"/>
                <w:sz w:val="16"/>
              </w:rPr>
              <w:t>3.8</w:t>
            </w:r>
          </w:p>
        </w:tc>
        <w:tc>
          <w:tcPr>
            <w:tcW w:type="dxa" w:w="1060"/>
          </w:tcPr>
          <w:p>
            <w:pPr>
              <w:spacing w:before="0" w:after="0" w:line="240" w:lineRule="auto"/>
              <w:ind w:firstLine="0"/>
              <w:jc w:val="center"/>
            </w:pPr>
            <w:r/>
            <w:r>
              <w:rPr>
                <w:rFonts w:ascii="Times New Roman" w:hAnsi="Times New Roman"/>
                <w:sz w:val="16"/>
              </w:rPr>
              <w:t>73.7</w:t>
            </w:r>
          </w:p>
        </w:tc>
        <w:tc>
          <w:tcPr>
            <w:tcW w:type="dxa" w:w="825"/>
          </w:tcPr>
          <w:p>
            <w:pPr>
              <w:spacing w:before="0" w:after="0" w:line="240" w:lineRule="auto"/>
              <w:ind w:firstLine="0"/>
              <w:jc w:val="center"/>
            </w:pPr>
            <w:r/>
            <w:r>
              <w:rPr>
                <w:rFonts w:ascii="Times New Roman" w:hAnsi="Times New Roman"/>
                <w:sz w:val="16"/>
              </w:rPr>
              <w:t>96.0</w:t>
            </w:r>
          </w:p>
        </w:tc>
        <w:tc>
          <w:tcPr>
            <w:tcW w:type="dxa" w:w="589"/>
          </w:tcPr>
          <w:p>
            <w:pPr>
              <w:spacing w:before="0" w:after="0" w:line="240" w:lineRule="auto"/>
              <w:ind w:firstLine="0"/>
              <w:jc w:val="center"/>
            </w:pPr>
            <w:r/>
            <w:r>
              <w:rPr>
                <w:rFonts w:ascii="Times New Roman" w:hAnsi="Times New Roman"/>
                <w:sz w:val="16"/>
              </w:rPr>
              <w:t>73.5</w:t>
            </w:r>
          </w:p>
        </w:tc>
        <w:tc>
          <w:tcPr>
            <w:tcW w:type="dxa" w:w="589"/>
          </w:tcPr>
          <w:p>
            <w:pPr>
              <w:spacing w:before="0" w:after="0" w:line="240" w:lineRule="auto"/>
              <w:ind w:firstLine="0"/>
              <w:jc w:val="center"/>
            </w:pPr>
            <w:r/>
            <w:r>
              <w:rPr>
                <w:rFonts w:ascii="Times New Roman" w:hAnsi="Times New Roman"/>
                <w:sz w:val="16"/>
              </w:rPr>
              <w:t>4.75</w:t>
            </w:r>
          </w:p>
        </w:tc>
        <w:tc>
          <w:tcPr>
            <w:tcW w:type="dxa" w:w="943"/>
          </w:tcPr>
          <w:p>
            <w:pPr>
              <w:spacing w:before="0" w:after="0" w:line="240" w:lineRule="auto"/>
              <w:ind w:firstLine="0"/>
              <w:jc w:val="center"/>
            </w:pPr>
            <w:r/>
            <w:r>
              <w:rPr>
                <w:rFonts w:ascii="Times New Roman" w:hAnsi="Times New Roman"/>
                <w:sz w:val="16"/>
              </w:rPr>
              <w:t>27.0</w:t>
            </w:r>
          </w:p>
        </w:tc>
        <w:tc>
          <w:tcPr>
            <w:tcW w:type="dxa" w:w="589"/>
          </w:tcPr>
          <w:p>
            <w:pPr>
              <w:spacing w:before="0" w:after="0" w:line="240" w:lineRule="auto"/>
              <w:ind w:firstLine="0"/>
              <w:jc w:val="center"/>
            </w:pPr>
            <w:r/>
            <w:r>
              <w:rPr>
                <w:rFonts w:ascii="Times New Roman" w:hAnsi="Times New Roman"/>
                <w:sz w:val="16"/>
              </w:rPr>
              <w:t>8.04</w:t>
            </w:r>
          </w:p>
        </w:tc>
        <w:tc>
          <w:tcPr>
            <w:tcW w:type="dxa" w:w="589"/>
          </w:tcPr>
          <w:p>
            <w:pPr>
              <w:spacing w:before="0" w:after="0" w:line="240" w:lineRule="auto"/>
              <w:ind w:firstLine="0"/>
              <w:jc w:val="center"/>
            </w:pPr>
            <w:r/>
            <w:r>
              <w:rPr>
                <w:rFonts w:ascii="Times New Roman" w:hAnsi="Times New Roman"/>
                <w:sz w:val="16"/>
              </w:rPr>
              <w:t>8.78</w:t>
            </w:r>
          </w:p>
        </w:tc>
      </w:tr>
      <w:tr>
        <w:tc>
          <w:tcPr>
            <w:tcW w:type="dxa" w:w="4477"/>
          </w:tcPr>
          <w:p>
            <w:pPr>
              <w:spacing w:before="0" w:after="0" w:line="240" w:lineRule="auto"/>
              <w:ind w:firstLine="0"/>
              <w:jc w:val="left"/>
            </w:pPr>
            <w:r/>
            <w:r>
              <w:rPr>
                <w:rFonts w:ascii="Times New Roman" w:hAnsi="Times New Roman"/>
                <w:sz w:val="16"/>
              </w:rPr>
              <w:t>Single model Qwen2.5-7B</w:t>
            </w:r>
          </w:p>
        </w:tc>
        <w:tc>
          <w:tcPr>
            <w:tcW w:type="dxa" w:w="707"/>
          </w:tcPr>
          <w:p>
            <w:pPr>
              <w:spacing w:before="0" w:after="0" w:line="240" w:lineRule="auto"/>
              <w:ind w:firstLine="0"/>
              <w:jc w:val="center"/>
            </w:pPr>
            <w:r/>
            <w:r>
              <w:rPr>
                <w:rFonts w:ascii="Times New Roman" w:hAnsi="Times New Roman"/>
                <w:sz w:val="16"/>
              </w:rPr>
              <w:t>7.6</w:t>
            </w:r>
          </w:p>
        </w:tc>
        <w:tc>
          <w:tcPr>
            <w:tcW w:type="dxa" w:w="1060"/>
          </w:tcPr>
          <w:p>
            <w:pPr>
              <w:spacing w:before="0" w:after="0" w:line="240" w:lineRule="auto"/>
              <w:ind w:firstLine="0"/>
              <w:jc w:val="center"/>
            </w:pPr>
            <w:r/>
            <w:r>
              <w:rPr>
                <w:rFonts w:ascii="Times New Roman" w:hAnsi="Times New Roman"/>
                <w:b/>
                <w:sz w:val="16"/>
              </w:rPr>
              <w:t>82.3</w:t>
            </w:r>
          </w:p>
        </w:tc>
        <w:tc>
          <w:tcPr>
            <w:tcW w:type="dxa" w:w="825"/>
          </w:tcPr>
          <w:p>
            <w:pPr>
              <w:spacing w:before="0" w:after="0" w:line="240" w:lineRule="auto"/>
              <w:ind w:firstLine="0"/>
              <w:jc w:val="center"/>
            </w:pPr>
            <w:r/>
            <w:r>
              <w:rPr>
                <w:rFonts w:ascii="Times New Roman" w:hAnsi="Times New Roman"/>
                <w:b/>
                <w:sz w:val="16"/>
              </w:rPr>
              <w:t>99.0</w:t>
            </w:r>
          </w:p>
        </w:tc>
        <w:tc>
          <w:tcPr>
            <w:tcW w:type="dxa" w:w="589"/>
          </w:tcPr>
          <w:p>
            <w:pPr>
              <w:spacing w:before="0" w:after="0" w:line="240" w:lineRule="auto"/>
              <w:ind w:firstLine="0"/>
              <w:jc w:val="center"/>
            </w:pPr>
            <w:r/>
            <w:r>
              <w:rPr>
                <w:rFonts w:ascii="Times New Roman" w:hAnsi="Times New Roman"/>
                <w:sz w:val="16"/>
              </w:rPr>
              <w:t>53.0</w:t>
            </w:r>
          </w:p>
        </w:tc>
        <w:tc>
          <w:tcPr>
            <w:tcW w:type="dxa" w:w="589"/>
          </w:tcPr>
          <w:p>
            <w:pPr>
              <w:spacing w:before="0" w:after="0" w:line="240" w:lineRule="auto"/>
              <w:ind w:firstLine="0"/>
              <w:jc w:val="center"/>
            </w:pPr>
            <w:r/>
            <w:r>
              <w:rPr>
                <w:rFonts w:ascii="Times New Roman" w:hAnsi="Times New Roman"/>
                <w:b/>
                <w:sz w:val="16"/>
              </w:rPr>
              <w:t>5.76</w:t>
            </w:r>
          </w:p>
        </w:tc>
        <w:tc>
          <w:tcPr>
            <w:tcW w:type="dxa" w:w="943"/>
          </w:tcPr>
          <w:p>
            <w:pPr>
              <w:spacing w:before="0" w:after="0" w:line="240" w:lineRule="auto"/>
              <w:ind w:firstLine="0"/>
              <w:jc w:val="center"/>
            </w:pPr>
            <w:r/>
            <w:r>
              <w:rPr>
                <w:rFonts w:ascii="Times New Roman" w:hAnsi="Times New Roman"/>
                <w:sz w:val="16"/>
              </w:rPr>
              <w:t>32.3</w:t>
            </w:r>
          </w:p>
        </w:tc>
        <w:tc>
          <w:tcPr>
            <w:tcW w:type="dxa" w:w="589"/>
          </w:tcPr>
          <w:p>
            <w:pPr>
              <w:spacing w:before="0" w:after="0" w:line="240" w:lineRule="auto"/>
              <w:ind w:firstLine="0"/>
              <w:jc w:val="center"/>
            </w:pPr>
            <w:r/>
            <w:r>
              <w:rPr>
                <w:rFonts w:ascii="Times New Roman" w:hAnsi="Times New Roman"/>
                <w:b/>
                <w:sz w:val="16"/>
              </w:rPr>
              <w:t>8.15</w:t>
            </w:r>
          </w:p>
        </w:tc>
        <w:tc>
          <w:tcPr>
            <w:tcW w:type="dxa" w:w="589"/>
          </w:tcPr>
          <w:p>
            <w:pPr>
              <w:spacing w:before="0" w:after="0" w:line="240" w:lineRule="auto"/>
              <w:ind w:firstLine="0"/>
              <w:jc w:val="center"/>
            </w:pPr>
            <w:r/>
            <w:r>
              <w:rPr>
                <w:rFonts w:ascii="Times New Roman" w:hAnsi="Times New Roman"/>
                <w:b/>
                <w:sz w:val="16"/>
              </w:rPr>
              <w:t>8.90</w:t>
            </w:r>
          </w:p>
        </w:tc>
      </w:tr>
      <w:tr>
        <w:tc>
          <w:tcPr>
            <w:tcW w:type="dxa" w:w="4477"/>
          </w:tcPr>
          <w:p>
            <w:pPr>
              <w:spacing w:before="0" w:after="0" w:line="240" w:lineRule="auto"/>
              <w:ind w:firstLine="0"/>
              <w:jc w:val="left"/>
            </w:pPr>
            <w:r/>
            <w:r>
              <w:rPr>
                <w:rFonts w:ascii="Times New Roman" w:hAnsi="Times New Roman"/>
                <w:sz w:val="16"/>
              </w:rPr>
              <w:t>Initial pipeline (GPT-2 + Qwen-1.5B)</w:t>
            </w:r>
          </w:p>
        </w:tc>
        <w:tc>
          <w:tcPr>
            <w:tcW w:type="dxa" w:w="707"/>
          </w:tcPr>
          <w:p>
            <w:pPr>
              <w:spacing w:before="0" w:after="0" w:line="240" w:lineRule="auto"/>
              <w:ind w:firstLine="0"/>
              <w:jc w:val="center"/>
            </w:pPr>
            <w:r/>
            <w:r>
              <w:rPr>
                <w:rFonts w:ascii="Times New Roman" w:hAnsi="Times New Roman"/>
                <w:sz w:val="16"/>
              </w:rPr>
              <w:t>1.9</w:t>
            </w:r>
          </w:p>
        </w:tc>
        <w:tc>
          <w:tcPr>
            <w:tcW w:type="dxa" w:w="1060"/>
          </w:tcPr>
          <w:p>
            <w:pPr>
              <w:spacing w:before="0" w:after="0" w:line="240" w:lineRule="auto"/>
              <w:ind w:firstLine="0"/>
              <w:jc w:val="center"/>
            </w:pPr>
            <w:r/>
            <w:r>
              <w:rPr>
                <w:rFonts w:ascii="Times New Roman" w:hAnsi="Times New Roman"/>
                <w:sz w:val="16"/>
              </w:rPr>
              <w:t>63.7</w:t>
            </w:r>
          </w:p>
        </w:tc>
        <w:tc>
          <w:tcPr>
            <w:tcW w:type="dxa" w:w="825"/>
          </w:tcPr>
          <w:p>
            <w:pPr>
              <w:spacing w:before="0" w:after="0" w:line="240" w:lineRule="auto"/>
              <w:ind w:firstLine="0"/>
              <w:jc w:val="center"/>
            </w:pPr>
            <w:r/>
            <w:r>
              <w:rPr>
                <w:rFonts w:ascii="Times New Roman" w:hAnsi="Times New Roman"/>
                <w:sz w:val="16"/>
              </w:rPr>
              <w:t>87.3</w:t>
            </w:r>
          </w:p>
        </w:tc>
        <w:tc>
          <w:tcPr>
            <w:tcW w:type="dxa" w:w="589"/>
          </w:tcPr>
          <w:p>
            <w:pPr>
              <w:spacing w:before="0" w:after="0" w:line="240" w:lineRule="auto"/>
              <w:ind w:firstLine="0"/>
              <w:jc w:val="center"/>
            </w:pPr>
            <w:r/>
            <w:r>
              <w:rPr>
                <w:rFonts w:ascii="Times New Roman" w:hAnsi="Times New Roman"/>
                <w:sz w:val="16"/>
              </w:rPr>
              <w:t>35.2</w:t>
            </w:r>
          </w:p>
        </w:tc>
        <w:tc>
          <w:tcPr>
            <w:tcW w:type="dxa" w:w="589"/>
          </w:tcPr>
          <w:p>
            <w:pPr>
              <w:spacing w:before="0" w:after="0" w:line="240" w:lineRule="auto"/>
              <w:ind w:firstLine="0"/>
              <w:jc w:val="center"/>
            </w:pPr>
            <w:r/>
            <w:r>
              <w:rPr>
                <w:rFonts w:ascii="Times New Roman" w:hAnsi="Times New Roman"/>
                <w:sz w:val="16"/>
              </w:rPr>
              <w:t>4.80</w:t>
            </w:r>
          </w:p>
        </w:tc>
        <w:tc>
          <w:tcPr>
            <w:tcW w:type="dxa" w:w="943"/>
          </w:tcPr>
          <w:p>
            <w:pPr>
              <w:spacing w:before="0" w:after="0" w:line="240" w:lineRule="auto"/>
              <w:ind w:firstLine="0"/>
              <w:jc w:val="center"/>
            </w:pPr>
            <w:r/>
            <w:r>
              <w:rPr>
                <w:rFonts w:ascii="Times New Roman" w:hAnsi="Times New Roman"/>
                <w:sz w:val="16"/>
              </w:rPr>
              <w:t>26.0</w:t>
            </w:r>
          </w:p>
        </w:tc>
        <w:tc>
          <w:tcPr>
            <w:tcW w:type="dxa" w:w="589"/>
          </w:tcPr>
          <w:p>
            <w:pPr>
              <w:spacing w:before="0" w:after="0" w:line="240" w:lineRule="auto"/>
              <w:ind w:firstLine="0"/>
              <w:jc w:val="center"/>
            </w:pPr>
            <w:r/>
            <w:r>
              <w:rPr>
                <w:rFonts w:ascii="Times New Roman" w:hAnsi="Times New Roman"/>
                <w:sz w:val="16"/>
              </w:rPr>
              <w:t>6.98</w:t>
            </w:r>
          </w:p>
        </w:tc>
        <w:tc>
          <w:tcPr>
            <w:tcW w:type="dxa" w:w="589"/>
          </w:tcPr>
          <w:p>
            <w:pPr>
              <w:spacing w:before="0" w:after="0" w:line="240" w:lineRule="auto"/>
              <w:ind w:firstLine="0"/>
              <w:jc w:val="center"/>
            </w:pPr>
            <w:r/>
            <w:r>
              <w:rPr>
                <w:rFonts w:ascii="Times New Roman" w:hAnsi="Times New Roman"/>
                <w:sz w:val="16"/>
              </w:rPr>
              <w:t>8.04</w:t>
            </w:r>
          </w:p>
        </w:tc>
      </w:tr>
      <w:tr>
        <w:tc>
          <w:tcPr>
            <w:tcW w:type="dxa" w:w="4477"/>
          </w:tcPr>
          <w:p>
            <w:pPr>
              <w:spacing w:before="0" w:after="0" w:line="240" w:lineRule="auto"/>
              <w:ind w:firstLine="0"/>
              <w:jc w:val="left"/>
            </w:pPr>
            <w:r/>
            <w:r>
              <w:rPr>
                <w:rFonts w:ascii="Times New Roman" w:hAnsi="Times New Roman"/>
                <w:sz w:val="16"/>
              </w:rPr>
              <w:t>RoBERTa + Qwen-1.5B, top-1</w:t>
            </w:r>
          </w:p>
        </w:tc>
        <w:tc>
          <w:tcPr>
            <w:tcW w:type="dxa" w:w="707"/>
          </w:tcPr>
          <w:p>
            <w:pPr>
              <w:spacing w:before="0" w:after="0" w:line="240" w:lineRule="auto"/>
              <w:ind w:firstLine="0"/>
              <w:jc w:val="center"/>
            </w:pPr>
            <w:r/>
            <w:r>
              <w:rPr>
                <w:rFonts w:ascii="Times New Roman" w:hAnsi="Times New Roman"/>
                <w:sz w:val="16"/>
              </w:rPr>
              <w:t>1.7</w:t>
            </w:r>
          </w:p>
        </w:tc>
        <w:tc>
          <w:tcPr>
            <w:tcW w:type="dxa" w:w="1060"/>
          </w:tcPr>
          <w:p>
            <w:pPr>
              <w:spacing w:before="0" w:after="0" w:line="240" w:lineRule="auto"/>
              <w:ind w:firstLine="0"/>
              <w:jc w:val="center"/>
            </w:pPr>
            <w:r/>
            <w:r>
              <w:rPr>
                <w:rFonts w:ascii="Times New Roman" w:hAnsi="Times New Roman"/>
                <w:sz w:val="16"/>
              </w:rPr>
              <w:t>57.7</w:t>
            </w:r>
          </w:p>
        </w:tc>
        <w:tc>
          <w:tcPr>
            <w:tcW w:type="dxa" w:w="825"/>
          </w:tcPr>
          <w:p>
            <w:pPr>
              <w:spacing w:before="0" w:after="0" w:line="240" w:lineRule="auto"/>
              <w:ind w:firstLine="0"/>
              <w:jc w:val="center"/>
            </w:pPr>
            <w:r/>
            <w:r>
              <w:rPr>
                <w:rFonts w:ascii="Times New Roman" w:hAnsi="Times New Roman"/>
                <w:sz w:val="16"/>
              </w:rPr>
              <w:t>84.3</w:t>
            </w:r>
          </w:p>
        </w:tc>
        <w:tc>
          <w:tcPr>
            <w:tcW w:type="dxa" w:w="589"/>
          </w:tcPr>
          <w:p>
            <w:pPr>
              <w:spacing w:before="0" w:after="0" w:line="240" w:lineRule="auto"/>
              <w:ind w:firstLine="0"/>
              <w:jc w:val="center"/>
            </w:pPr>
            <w:r/>
            <w:r>
              <w:rPr>
                <w:rFonts w:ascii="Times New Roman" w:hAnsi="Times New Roman"/>
                <w:sz w:val="16"/>
              </w:rPr>
              <w:t>34.7</w:t>
            </w:r>
          </w:p>
        </w:tc>
        <w:tc>
          <w:tcPr>
            <w:tcW w:type="dxa" w:w="589"/>
          </w:tcPr>
          <w:p>
            <w:pPr>
              <w:spacing w:before="0" w:after="0" w:line="240" w:lineRule="auto"/>
              <w:ind w:firstLine="0"/>
              <w:jc w:val="center"/>
            </w:pPr>
            <w:r/>
            <w:r>
              <w:rPr>
                <w:rFonts w:ascii="Times New Roman" w:hAnsi="Times New Roman"/>
                <w:sz w:val="16"/>
              </w:rPr>
              <w:t>4.78</w:t>
            </w:r>
          </w:p>
        </w:tc>
        <w:tc>
          <w:tcPr>
            <w:tcW w:type="dxa" w:w="943"/>
          </w:tcPr>
          <w:p>
            <w:pPr>
              <w:spacing w:before="0" w:after="0" w:line="240" w:lineRule="auto"/>
              <w:ind w:firstLine="0"/>
              <w:jc w:val="center"/>
            </w:pPr>
            <w:r/>
            <w:r>
              <w:rPr>
                <w:rFonts w:ascii="Times New Roman" w:hAnsi="Times New Roman"/>
                <w:sz w:val="16"/>
              </w:rPr>
              <w:t>25.3</w:t>
            </w:r>
          </w:p>
        </w:tc>
        <w:tc>
          <w:tcPr>
            <w:tcW w:type="dxa" w:w="589"/>
          </w:tcPr>
          <w:p>
            <w:pPr>
              <w:spacing w:before="0" w:after="0" w:line="240" w:lineRule="auto"/>
              <w:ind w:firstLine="0"/>
              <w:jc w:val="center"/>
            </w:pPr>
            <w:r/>
            <w:r>
              <w:rPr>
                <w:rFonts w:ascii="Times New Roman" w:hAnsi="Times New Roman"/>
                <w:sz w:val="16"/>
              </w:rPr>
              <w:t>n/a</w:t>
            </w:r>
          </w:p>
        </w:tc>
        <w:tc>
          <w:tcPr>
            <w:tcW w:type="dxa" w:w="589"/>
          </w:tcPr>
          <w:p>
            <w:pPr>
              <w:spacing w:before="0" w:after="0" w:line="240" w:lineRule="auto"/>
              <w:ind w:firstLine="0"/>
              <w:jc w:val="center"/>
            </w:pPr>
            <w:r/>
            <w:r>
              <w:rPr>
                <w:rFonts w:ascii="Times New Roman" w:hAnsi="Times New Roman"/>
                <w:sz w:val="16"/>
              </w:rPr>
              <w:t>n/a</w:t>
            </w:r>
          </w:p>
        </w:tc>
      </w:tr>
      <w:tr>
        <w:tc>
          <w:tcPr>
            <w:tcW w:type="dxa" w:w="4477"/>
          </w:tcPr>
          <w:p>
            <w:pPr>
              <w:spacing w:before="0" w:after="0" w:line="240" w:lineRule="auto"/>
              <w:ind w:firstLine="0"/>
              <w:jc w:val="left"/>
            </w:pPr>
            <w:r/>
            <w:r>
              <w:rPr>
                <w:rFonts w:ascii="Times New Roman" w:hAnsi="Times New Roman"/>
                <w:sz w:val="16"/>
              </w:rPr>
              <w:t>RoBERTa + Phi-4-mini, top-1</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65.3</w:t>
            </w:r>
          </w:p>
        </w:tc>
        <w:tc>
          <w:tcPr>
            <w:tcW w:type="dxa" w:w="825"/>
          </w:tcPr>
          <w:p>
            <w:pPr>
              <w:spacing w:before="0" w:after="0" w:line="240" w:lineRule="auto"/>
              <w:ind w:firstLine="0"/>
              <w:jc w:val="center"/>
            </w:pPr>
            <w:r/>
            <w:r>
              <w:rPr>
                <w:rFonts w:ascii="Times New Roman" w:hAnsi="Times New Roman"/>
                <w:sz w:val="16"/>
              </w:rPr>
              <w:t>94.7</w:t>
            </w:r>
          </w:p>
        </w:tc>
        <w:tc>
          <w:tcPr>
            <w:tcW w:type="dxa" w:w="589"/>
          </w:tcPr>
          <w:p>
            <w:pPr>
              <w:spacing w:before="0" w:after="0" w:line="240" w:lineRule="auto"/>
              <w:ind w:firstLine="0"/>
              <w:jc w:val="center"/>
            </w:pPr>
            <w:r/>
            <w:r>
              <w:rPr>
                <w:rFonts w:ascii="Times New Roman" w:hAnsi="Times New Roman"/>
                <w:sz w:val="16"/>
              </w:rPr>
              <w:t>80.5</w:t>
            </w:r>
          </w:p>
        </w:tc>
        <w:tc>
          <w:tcPr>
            <w:tcW w:type="dxa" w:w="589"/>
          </w:tcPr>
          <w:p>
            <w:pPr>
              <w:spacing w:before="0" w:after="0" w:line="240" w:lineRule="auto"/>
              <w:ind w:firstLine="0"/>
              <w:jc w:val="center"/>
            </w:pPr>
            <w:r/>
            <w:r>
              <w:rPr>
                <w:rFonts w:ascii="Times New Roman" w:hAnsi="Times New Roman"/>
                <w:sz w:val="16"/>
              </w:rPr>
              <w:t>4.89</w:t>
            </w:r>
          </w:p>
        </w:tc>
        <w:tc>
          <w:tcPr>
            <w:tcW w:type="dxa" w:w="943"/>
          </w:tcPr>
          <w:p>
            <w:pPr>
              <w:spacing w:before="0" w:after="0" w:line="240" w:lineRule="auto"/>
              <w:ind w:firstLine="0"/>
              <w:jc w:val="center"/>
            </w:pPr>
            <w:r/>
            <w:r>
              <w:rPr>
                <w:rFonts w:ascii="Times New Roman" w:hAnsi="Times New Roman"/>
                <w:sz w:val="16"/>
              </w:rPr>
              <w:t>28.3</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8.65</w:t>
            </w:r>
          </w:p>
        </w:tc>
      </w:tr>
      <w:tr>
        <w:tc>
          <w:tcPr>
            <w:tcW w:type="dxa" w:w="4477"/>
          </w:tcPr>
          <w:p>
            <w:pPr>
              <w:spacing w:before="0" w:after="0" w:line="240" w:lineRule="auto"/>
              <w:ind w:firstLine="0"/>
              <w:jc w:val="left"/>
            </w:pPr>
            <w:r/>
            <w:r>
              <w:rPr>
                <w:rFonts w:ascii="Times New Roman" w:hAnsi="Times New Roman"/>
                <w:b/>
                <w:sz w:val="16"/>
              </w:rPr>
              <w:t>Ours: two-stage RoBERTa + Phi-4-mini</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60.0</w:t>
            </w:r>
          </w:p>
        </w:tc>
        <w:tc>
          <w:tcPr>
            <w:tcW w:type="dxa" w:w="825"/>
          </w:tcPr>
          <w:p>
            <w:pPr>
              <w:spacing w:before="0" w:after="0" w:line="240" w:lineRule="auto"/>
              <w:ind w:firstLine="0"/>
              <w:jc w:val="center"/>
            </w:pPr>
            <w:r/>
            <w:r>
              <w:rPr>
                <w:rFonts w:ascii="Times New Roman" w:hAnsi="Times New Roman"/>
                <w:sz w:val="16"/>
              </w:rPr>
              <w:t>92.7</w:t>
            </w:r>
          </w:p>
        </w:tc>
        <w:tc>
          <w:tcPr>
            <w:tcW w:type="dxa" w:w="589"/>
          </w:tcPr>
          <w:p>
            <w:pPr>
              <w:spacing w:before="0" w:after="0" w:line="240" w:lineRule="auto"/>
              <w:ind w:firstLine="0"/>
              <w:jc w:val="center"/>
            </w:pPr>
            <w:r/>
            <w:r>
              <w:rPr>
                <w:rFonts w:ascii="Times New Roman" w:hAnsi="Times New Roman"/>
                <w:sz w:val="16"/>
              </w:rPr>
              <w:t>57.1</w:t>
            </w:r>
          </w:p>
        </w:tc>
        <w:tc>
          <w:tcPr>
            <w:tcW w:type="dxa" w:w="589"/>
          </w:tcPr>
          <w:p>
            <w:pPr>
              <w:spacing w:before="0" w:after="0" w:line="240" w:lineRule="auto"/>
              <w:ind w:firstLine="0"/>
              <w:jc w:val="center"/>
            </w:pPr>
            <w:r/>
            <w:r>
              <w:rPr>
                <w:rFonts w:ascii="Times New Roman" w:hAnsi="Times New Roman"/>
                <w:sz w:val="16"/>
              </w:rPr>
              <w:t>5.05</w:t>
            </w:r>
          </w:p>
        </w:tc>
        <w:tc>
          <w:tcPr>
            <w:tcW w:type="dxa" w:w="943"/>
          </w:tcPr>
          <w:p>
            <w:pPr>
              <w:spacing w:before="0" w:after="0" w:line="240" w:lineRule="auto"/>
              <w:ind w:firstLine="0"/>
              <w:jc w:val="center"/>
            </w:pPr>
            <w:r/>
            <w:r>
              <w:rPr>
                <w:rFonts w:ascii="Times New Roman" w:hAnsi="Times New Roman"/>
                <w:b/>
                <w:sz w:val="16"/>
              </w:rPr>
              <w:t>36.7</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1909" w:h="16834"/>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of any system and the second-highest WASSA score, behind only the 7.6B single model; on the AI judges it lies third, within 0.22 points of the highest-scoring system. The fine-tuned model learns the style of ED listeners: 10-word replies that usually ask a question but rarely acknowledge the feeling (30.0%), meeting all rules in 22.3% of cases. Retrieval augmentation lowered the initial pipeline's rule adherence from 63.7% to 43.7%, as the retrieved listener replies model the same style. Because the measures disagree, we also summarise them by standardising five of them (rule adherence, WASSA, emotion validation, judge empathy and freedom from boilerplate) across systems and averaging them with equal weight: our system ranks second of eight, behind only the 7.6B single model, which needs 1.9 times the parameters and 62% more GPU memory, and first among the systems that fit the 8 GB budget. Removing any one measure leaves it second or third, so the ranking does not depend on a single favourable measure.</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 applied across the eight baselines for the first three rows and the seven judged baselines for the last two.</w:t>
      </w:r>
    </w:p>
    <w:tbl>
      <w:tblPr>
        <w:tblStyle w:val="TableGrid"/>
        <w:tblW w:type="auto" w:w="0"/>
        <w:jc w:val="center"/>
        <w:tblLayout w:type="fixed"/>
        <w:tblLook w:firstColumn="1" w:firstRow="1" w:lastColumn="0" w:lastRow="0" w:noHBand="0" w:noVBand="1" w:val="04A0"/>
      </w:tblPr>
      <w:tblGrid>
        <w:gridCol w:w="2527"/>
        <w:gridCol w:w="2527"/>
        <w:gridCol w:w="2527"/>
        <w:gridCol w:w="2527"/>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and WASSA, while the judges' empathy (-0.30) and overall (-0.21) gaps do not survive correction (p = 0.073 and p = 0.109).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Decoupling Versus Guidance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We therefore prompt </w:t>
      </w:r>
      <w:r>
        <w:rPr>
          <w:rFonts w:ascii="Times New Roman" w:hAnsi="Times New Roman"/>
          <w:b/>
          <w:sz w:val="20"/>
        </w:rPr>
        <w:t>our own generator as a single model</w:t>
      </w:r>
      <w:r>
        <w:rPr>
          <w:rFonts w:ascii="Times New Roman" w:hAnsi="Times New Roman"/>
          <w:sz w:val="20"/>
        </w:rPr>
        <w:t xml:space="preserve">, with no detector. </w:t>
      </w:r>
      <w:r>
        <w:rPr>
          <w:rFonts w:ascii="Times New Roman" w:hAnsi="Times New Roman"/>
          <w:b/>
          <w:sz w:val="20"/>
        </w:rPr>
        <w:t>Capacity explains the structural gains; the decoupled design explains the empathic gains.</w:t>
      </w:r>
      <w:r>
        <w:rPr>
          <w:rFonts w:ascii="Times New Roman" w:hAnsi="Times New Roman"/>
          <w:sz w:val="20"/>
        </w:rPr>
        <w:t xml:space="preserve"> Moving from Qwen2.5-1.5B to Phi-4-mini as a single model raises rule adherence from 51.3% to 73.7% (p &lt; 0.001) but leaves WASSA (4.84 to 4.75, p = 0.18) and emotion validation (25.7% to 27.0%, p = 0.70) unchanged: a larger generator alone buys none of the empathy we report. Adding the detector and emotion-specific guidance to that same generator raises WASSA to 5.05 (+0.30, adjusted p &lt; 0.001) and emotion validation to 36.7% (+9.7 points, adjusted p = 0.007). The design's cost is rule adherence, which falls to 60.0% (-13.7 points, p = 0.002), mainly through the keyword-based acknowledgement check (66.3% against 77.3%), because the rules share the prompt with emotion-specific guidance. The AI judges place the two level (empathy 7.84 against 8.04, p = 0.077; overall 8.68 against 8.78, p = 0.16). The two differ in length (57.1 against 73.5 words), and with length held constant the acknowledgement difference disappears (p = 0.36) while the WASSA advantage strengthens (p &lt; 0.001); at matched length the judge scores coincide (7.92 against 7.89 for 40-60 word replies). The decoupled system also repeats itself less (boilerplate 58.7% against 72.3%, distinct-2 47.8% against 39.1%) and writes 22% fewer words. At an equal generator the decoupled design therefore trades part of its rule adherence for significantly more empathetic and more emotionally faithful replies. The two-stage prompt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370"/>
        <w:gridCol w:w="3370"/>
        <w:gridCol w:w="337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Detector accuracy, base to large, on these 300 conversations</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[33]. It achieves higher accuracy with less input for two reasons. First, it is initialised from RoBERTa, pre-trained on about 160 GB of text [20], whereas joint models such as MoEL and CASE start from GloVe word vectors and train their encoders on ED alone [5], [7]; RoBERTa-GPT2, which is built on pre-trained RoBERTa and GPT-2, reaches a comparable 51.5% [34], showing that pre-training, not access to the full dialogue, drives the accuracy. Second, our detector is trained and selected only for emotion classification, whereas joint models share their capacity with response generation. As those models were not re-trained under our setting, we do not claim the best detector on ED.</w:t>
      </w:r>
    </w:p>
    <w:p>
      <w:pPr>
        <w:spacing w:before="120" w:after="60" w:line="240" w:lineRule="auto"/>
        <w:ind w:firstLine="0"/>
        <w:jc w:val="left"/>
      </w:pPr>
      <w:r>
        <w:rPr>
          <w:rFonts w:ascii="Times New Roman" w:hAnsi="Times New Roman"/>
          <w:i/>
          <w:sz w:val="20"/>
        </w:rPr>
        <w:t>E. Judge Agreement</w:t>
      </w:r>
    </w:p>
    <w:p>
      <w:pPr>
        <w:spacing w:before="0" w:after="0" w:line="240" w:lineRule="auto"/>
        <w:ind w:firstLine="180"/>
        <w:jc w:val="both"/>
      </w:pPr>
      <w:r>
        <w:rPr>
          <w:rFonts w:ascii="Times New Roman" w:hAnsi="Times New Roman"/>
          <w:sz w:val="20"/>
        </w:rPr>
        <w:t>The two judges agree with each other at Spearman ρ = 0.69 for empathy and 0.68 overall across 512 replies of eight systems, and rank them identically except for exchanging our system and top-1 Phi, whose scores differ by 0.03. At the system level, WASSA ranks the systems broadly as the judges do (ρ = 0.74) but disagrees on the single-model Phi baseline, which is second by judge empathy and seventh by WASSA.</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b/>
          <w:sz w:val="20"/>
        </w:rPr>
        <w:t>Parameter efficiency.</w:t>
      </w:r>
      <w:r>
        <w:rPr>
          <w:rFonts w:ascii="Times New Roman" w:hAnsi="Times New Roman"/>
          <w:sz w:val="20"/>
        </w:rPr>
        <w:t xml:space="preserve"> With 52% of the parameters of the 7.6B single model, our system reaches 97.5% of its overall AI-judge score (difference not significant) and 96.2% of its judge-rated empathy (neither difference is significant after correction). At the detector level, RoBERTa-large has 2.8x the parameters of RoBERTa-base and 2.9 points higher accuracy on the test partition (53.0% against 50.1%, Section III-B; 53.3% against 50.3% on the 300 evaluation conversations) but brings no significant gain in reply quality (Table III), so the smaller detector is the efficient choice.</w:t>
      </w:r>
    </w:p>
    <w:p>
      <w:pPr>
        <w:spacing w:before="0" w:after="0" w:line="240" w:lineRule="auto"/>
        <w:ind w:firstLine="180"/>
        <w:jc w:val="both"/>
      </w:pPr>
      <w:r>
        <w:rPr>
          <w:rFonts w:ascii="Times New Roman" w:hAnsi="Times New Roman"/>
          <w:b/>
          <w:sz w:val="20"/>
        </w:rPr>
        <w:t>Resource use.</w:t>
      </w:r>
      <w:r>
        <w:rPr>
          <w:rFonts w:ascii="Times New Roman" w:hAnsi="Times New Roman"/>
          <w:sz w:val="20"/>
        </w:rPr>
        <w:t xml:space="preserve"> Measured on the same GPU over 50 messages, our system needs 38% less peak GPU memory than the 7.6B single model (3.40 GB against 5.47 GB) with no significant difference in response time (4.17 s against 3.91 s per reply, Wilcoxon p = 0.10; 65.7 against 65.4 ms per generated token). The detector and stage-1 selection add only 0.31 s, about 7% of the reply time. The 1.5B single model is lighter (2.90 GB) and 2.6x faster, but significantly less empathetic.</w:t>
      </w:r>
    </w:p>
    <w:p>
      <w:pPr>
        <w:spacing w:before="0" w:after="0" w:line="240" w:lineRule="auto"/>
        <w:ind w:firstLine="180"/>
        <w:jc w:val="both"/>
      </w:pPr>
      <w:r>
        <w:rPr>
          <w:rFonts w:ascii="Times New Roman" w:hAnsi="Times New Roman"/>
          <w:b/>
          <w:sz w:val="20"/>
        </w:rPr>
        <w:t>Application orientation.</w:t>
      </w:r>
      <w:r>
        <w:rPr>
          <w:rFonts w:ascii="Times New Roman" w:hAnsi="Times New Roman"/>
          <w:sz w:val="20"/>
        </w:rPr>
        <w:t xml:space="preserve"> The system runs entirely on one 8 GB consumer GPU, so disclosures need not leave the device. We extended it into a multi-turn agent in which the detector reads the user's last four turns, the generator keeps the last ten exchanges, and every turn displays the candidate emotions, the chosen emotion and the cue words. This audit trail lets developers or clinicians see why a reply took a given tone and insert safeguards before generation, which a single end-to-end model cannot offer.</w:t>
      </w:r>
    </w:p>
    <w:p>
      <w:pPr>
        <w:spacing w:before="0" w:after="0" w:line="240" w:lineRule="auto"/>
        <w:ind w:firstLine="180"/>
        <w:jc w:val="both"/>
      </w:pPr>
      <w:r>
        <w:rPr>
          <w:rFonts w:ascii="Times New Roman" w:hAnsi="Times New Roman"/>
          <w:sz w:val="20"/>
        </w:rPr>
        <w:t>This study has several limitations. At an equal generator the measures disagree, so the case for the decoupled design rests on emotion validation and the empathy classifier rather than on the judges, which rate the two configurations equally.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All measures reported here are automatic: a human preference study is under way but not complete, so the ranking rests on rule checks, an empathy classifier and LLM judges rather than on the judgement of people seeking support. Evaluation covers single turns in English, and resource use was measured on one GPU.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[35].</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emotionally faithful and higher on the empathy classifier than the same generator used alone, at the cost of some rule adherence, while a 7.6B single model remains stronger on rule adherence and WASSA. Detection accuracy is not the limiting factor; how the detected emotion is used matters more. Future work should complete the human preference study,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rPr>
        <w:t>The system presented in this paper, comprising the emotion detector and its training, the two-stage prompting pipeline, the conversational agent and the response-scoring code, was designed and implemented by the authors, who also ran every experiment on their own hardware; no experimental result was produced by an AI system. In accordance with IEEE policy on AI-generated text, the authors further disclose that Claude (Anthropic) was used for three supporting purposes: it produced an initial draft of the Abstract and of Sections I to VII from the authors' results and notes, which the authors then rewrote, so the text presented here is their own; it wrote parts of the analysis code that computes the reported statistics and produces the tables and figures; and it wrote scripts used to run and merge the LLM-judge evaluation and to run two of the baselines. The authors verified all results, references and claims, and take full responsibility for the content of this paper.</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A. Sharma, A. S. Miner, D. C. Atkins, and T. Althoff, "A computational approach to understanding empathy expressed in text-based mental health support," in Proc. 2020 Conf. Empirical Methods Natural Language Processing (EMNLP), 2020, pp. 5263-5276, doi: 10.18653/v1/2020.emnlp-main.425.</w:t>
      </w:r>
    </w:p>
    <w:p>
      <w:pPr>
        <w:spacing w:before="0" w:after="0" w:line="240" w:lineRule="auto"/>
        <w:ind w:left="432" w:hanging="432"/>
        <w:jc w:val="both"/>
      </w:pPr>
      <w:r>
        <w:rPr>
          <w:rFonts w:ascii="Times New Roman" w:hAnsi="Times New Roman"/>
          <w:sz w:val="16"/>
        </w:rPr>
        <w:t>[19]</w:t>
        <w:tab/>
        <w:t>Substance Abuse and Mental Health Services Administration, Enhancing Motivation for Change in Substance Use Disorder Treatment, Treatment Improvement Protocol (TIP) Series No. 35, SAMHSA Publication No. PEP19-02-01-003. Rockville, MD, USA: SAMHSA, 2019, ch. 3.</w:t>
      </w:r>
    </w:p>
    <w:p>
      <w:pPr>
        <w:spacing w:before="0" w:after="0" w:line="240" w:lineRule="auto"/>
        <w:ind w:left="432" w:hanging="432"/>
        <w:jc w:val="both"/>
      </w:pPr>
      <w:r>
        <w:rPr>
          <w:rFonts w:ascii="Times New Roman" w:hAnsi="Times New Roman"/>
          <w:sz w:val="16"/>
        </w:rPr>
        <w:t>[20]</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[21]</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[22]</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[23]</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[24]</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[25]</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[26]</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[27]</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[28]</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[29]</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[30]</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[31]</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[32]</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[33]</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[34]</w:t>
        <w:tab/>
        <w:t>Y. Liu, W. Maier, W. Minker, and S. Ultes, "Empathetic dialogue generation with pre-trained RoBERTa-GPT2 and external knowledge," in Proc. Int. Workshop Spoken Dialogue System Technology (IWSDS), 2021; arXiv:2109.03004.</w:t>
      </w:r>
    </w:p>
    <w:p>
      <w:pPr>
        <w:spacing w:before="0" w:after="0" w:line="240" w:lineRule="auto"/>
        <w:ind w:left="432" w:hanging="432"/>
        <w:jc w:val="both"/>
      </w:pPr>
      <w:r>
        <w:rPr>
          <w:rFonts w:ascii="Times New Roman" w:hAnsi="Times New Roman"/>
          <w:sz w:val="16"/>
        </w:rPr>
        <w:t>[35]</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1909" w:h="16834"/>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