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Analysis of Design Solutions</w:t>
      </w:r>
    </w:p>
    <w:p>
      <w:pPr>
        <w:pStyle w:val="IntenseQuote"/>
      </w:pPr>
      <w:r>
        <w:t>Note for the team (delete before submission): the rubric lists both this section and "Final Design Adjustments" as 5.2. Confirm the numbering with the supervisor and adjust headings and cross-references together.</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1"/>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is the weakest option.</w:t>
      </w:r>
      <w:r>
        <w:t xml:space="preserve"> The generator fine-tuned with LoRA follows all rules in none of its replies, averaging 7.07 questions and 200.7 words. Having learned to imitate human listener replies without any explicit structure, it reproduces, and exaggerates, the dataset's conversational habit of asking follow-up questions.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5.3).</w:t>
      </w:r>
    </w:p>
    <w:p>
      <w:pPr>
        <w:spacing w:after="120"/>
      </w:pPr>
      <w:r>
        <w:rPr>
          <w:b/>
        </w:rPr>
        <w:t>A larger single model remains stronger.</w:t>
      </w:r>
      <w:r>
        <w:t xml:space="preserve"> Qwen2.5-7B [8],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1"/>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4.4).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4.5). RoBERTa-large adds 2.9 points of top-1 accuracy at 7.4 times the training cost. When RoBERTa-large was substituted into the final pipeline, rule adherence, WASSA empathy and emotion validation were all unchanged (Section 5.3.3), so RoBERTa-base offers the best balance.</w:t>
      </w:r>
    </w:p>
    <w:p>
      <w:pPr>
        <w:pStyle w:val="Heading1"/>
      </w:pPr>
      <w:r>
        <w:t>5.2.3 Generator Alternatives</w:t>
      </w:r>
    </w:p>
    <w:p>
      <w:pPr>
        <w:spacing w:after="120"/>
      </w:pPr>
      <w:r>
        <w:t>With the detector and prompt held fixed, the choice of generator determines rule adherence: 65.3% for Phi-4-mini, 57.7% for Qwen2.5-1.5B and 22.0% for Gemma-3-4B (Table 4.6).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5.4). When replies of similar length are compared (Figure 5.3, Table 5.10),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[29].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r>
        <w:rPr>
          <w:i/>
          <w:sz w:val="20"/>
        </w:rPr>
        <w:t>Table 5.10: WASSA empathy score within each reply-length band</w:t>
      </w:r>
    </w:p>
    <w:p>
      <w:pPr>
        <w:pStyle w:val="Heading1"/>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4.7).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1"/>
      </w:pPr>
      <w:r>
        <w:t>5.2.5 Retrieval Augmentation</w:t>
      </w:r>
    </w:p>
    <w:p>
      <w:pPr>
        <w:spacing w:after="120"/>
      </w:pPr>
      <w:r>
        <w:t>Providing the generator with one or two similar training conversations [11] reduced rule adherence in both versions tested, to 54.3% and 43.7% against 63.7% without retrieval (Table 4.8). The retrieved human replies frequently contained several questions, and the model imitated them despite the rule, so that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1"/>
      </w:pPr>
      <w:r>
        <w:t>5.2.6 Multi-Criteria Assessment</w:t>
      </w:r>
    </w:p>
    <w:p>
      <w:pPr>
        <w:spacing w:after="120"/>
      </w:pPr>
      <w:r>
        <w:t>Table 5.11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0.0% / 4.19 / 20.0%</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uncontrolled length</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5.11: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pStyle w:val="Heading1"/>
      </w:pPr>
      <w:r>
        <w:t>References</w:t>
      </w:r>
    </w:p>
    <w:p>
      <w:pPr>
        <w:ind w:left="576" w:hanging="576"/>
      </w:pPr>
      <w:r>
        <w:rPr>
          <w:sz w:val="20"/>
        </w:rPr>
        <w:t>[8] A. Yang, B. Yang, B. Zhang, B. Hui et al. (Qwen Team), "Qwen2.5 technical report," arXiv:2412.15115, 2024.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[29] V. Sorin, D. Brin, Y. Barash, E. Konen, A. Charney, G. Nadkarni, and E. Klang, "Large language models and empathy: Systematic review," J. Med. Internet Res., vol. 26, p. e52597, 2024, doi: 10.2196/52597.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