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5.6 Discussion</w:t>
      </w:r>
    </w:p>
    <w:p>
      <w:pPr>
        <w:pStyle w:val="IntenseQuote"/>
      </w:pPr>
      <w:r>
        <w:t>Note for the team (delete before submission): the rubric has no Section 5.5. Confirm the numbering with the supervisor. The closing paragraph must be written once the human-evaluation results are available.</w:t>
      </w:r>
    </w:p>
    <w:p>
      <w:pPr>
        <w:spacing w:after="120"/>
      </w:pPr>
      <w:r>
        <w:t>This section interprets the results as a whole: what they mean for the research question, why the unexpected results occurred, how the work answers the concerns of the Pre-Thesis 2 panel, what its limitations are, and what should follow.</w:t>
      </w:r>
    </w:p>
    <w:p>
      <w:pPr>
        <w:pStyle w:val="Heading1"/>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while its rule adherence is statistically indistinguishable from that of a same-size single model after correction for multiple comparisons. </w:t>
      </w:r>
      <w:r>
        <w:rPr>
          <w:b/>
        </w:rPr>
        <w:t>A larger single model, however, outperforms it</w:t>
      </w:r>
      <w:r>
        <w:t xml:space="preserve"> in rule adherence and empathy, although the AI judges' overall scores for the two do not differ significantly after correction (8.90 against 8.68).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5.4.7), and </w:t>
      </w:r>
      <w:r>
        <w:rPr>
          <w:b/>
        </w:rPr>
        <w:t>application-oriented</w:t>
      </w:r>
      <w:r>
        <w:t>, running locally as a multi-turn agent that exposes its emotional reasoning (Section 5.6.5).</w:t>
      </w:r>
    </w:p>
    <w:p>
      <w:pPr>
        <w:pStyle w:val="Heading1"/>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[1],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1"/>
      </w:pPr>
      <w:r>
        <w:t>5.6.3 Response to the Pre-Thesis 2 Panel</w:t>
      </w:r>
    </w:p>
    <w:p>
      <w:pPr>
        <w:spacing w:after="120"/>
      </w:pPr>
      <w:r>
        <w:t>The panel questioned whether multiple models were necessary and suggested that a simpler agentic, retrieval-based design might perform better. Both suggestions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[11] reduced rule adherence in both versions we built, from 63.7% to 54.3% and 43.7%, because real listener replies model the multi-question behaviour that the rules are intended to prevent.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1"/>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AI-judge empathy (8.15 against 7.84).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1"/>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5.2.4).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1"/>
      </w:pPr>
      <w:r>
        <w:t>5.6.6 Limitations</w:t>
      </w:r>
    </w:p>
    <w:p>
      <w:pPr>
        <w:spacing w:after="120"/>
      </w:pPr>
      <w:r>
        <w:t xml:space="preserve">This work has seven main limitations. (1) </w:t>
      </w:r>
      <w:r>
        <w:rPr>
          <w:b/>
        </w:rPr>
        <w:t>Data.</w:t>
      </w:r>
      <w:r>
        <w:t xml:space="preserve"> EmpatheticDialogues is an English, crowd-sourced corpus with a single label per conversation [1],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The WASSA classifier was trained on peer discussions of news articles, produces coarse classes and rewards length [14]. Emotion validation relies on our own detector. AI judges may favour longer answers [13], and the planned three-judge panel was reduced to two judges when one became unavailable, although the two panels agree closely on the systems both scored.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[29]. (7) </w:t>
      </w:r>
      <w:r>
        <w:rPr>
          <w:b/>
        </w:rPr>
        <w:t>Efficiency measurement.</w:t>
      </w:r>
      <w:r>
        <w:t xml:space="preserve"> Memory use and response time were measured on a single GPU over 50 messages, so they are indicative rather than general.</w:t>
      </w:r>
    </w:p>
    <w:p>
      <w:pPr>
        <w:pStyle w:val="Heading1"/>
      </w:pPr>
      <w:r>
        <w:t>5.6.7 Future Work</w:t>
      </w:r>
    </w:p>
    <w:p>
      <w:pPr>
        <w:spacing w:after="120"/>
      </w:pPr>
      <w:r>
        <w:t>In order of priority, future work should: (i) add a pre-generation crisis filter with reviewed safe responses, which is required before any public deployment [36];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1"/>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