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5.3.</w:t>
      </w:r>
    </w:p>
    <w:p>
      <w:pPr>
        <w:pStyle w:val="Heading1"/>
      </w:pPr>
      <w:r>
        <w:t>5.1.1 Experimental Setup</w:t>
      </w:r>
    </w:p>
    <w:p>
      <w:pPr>
        <w:spacing w:after="120"/>
      </w:pPr>
      <w:r>
        <w:t xml:space="preserve">All generation systems respond to the same 300 conversations, sampled with seed 42 from the EmpatheticDialogues test partition [1],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1"/>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5.4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[32].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r>
        <w:rPr>
          <w:i/>
          <w:sz w:val="20"/>
        </w:rPr>
        <w:t>Table 5.3: Precision, recall and F1 of the final detector for each emotion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5.4: Most frequent confusions made by the final detector</w:t>
      </w:r>
    </w:p>
    <w:p>
      <w:pPr>
        <w:pStyle w:val="Heading1"/>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1"/>
      </w:pPr>
      <w:r>
        <w:t>5.1.4 Empathy Classifier Score</w:t>
      </w:r>
    </w:p>
    <w:p>
      <w:pPr>
        <w:spacing w:after="120"/>
      </w:pPr>
      <w:r>
        <w:t xml:space="preserve">Figure 5.2 shows the WASSA empathy scores [15]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5.4.4). Gemma-3-4B (5.30) and the larger single model (5.76) score higher, and Section 5.4 shows that Gemma's advantage is explained by the length of its replies. The classifier outputs coarse ordinal classes, and our replies fall between classes 1 and 7. It was also trained on empathy ratings of turns in peer discussions of news articles [14]. We therefore interpret differences between system averages rather than absolute values; Section 5.3.6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1"/>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1"/>
      </w:pPr>
      <w:r>
        <w:t>5.1.6 Behaviour of the Two-Stage Emotion Selection</w:t>
      </w:r>
    </w:p>
    <w:p>
      <w:pPr>
        <w:spacing w:after="120"/>
      </w:pPr>
      <w:r>
        <w:t xml:space="preserve">Table 5.5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5.5: Accuracy of the stage-1 emotion selection compared with the detector's top-1 prediction</w:t>
      </w:r>
    </w:p>
    <w:p>
      <w:pPr>
        <w:pStyle w:val="Heading1"/>
      </w:pPr>
      <w:r>
        <w:t>5.1.7 Diversity and Repetition</w:t>
      </w:r>
    </w:p>
    <w:p>
      <w:pPr>
        <w:spacing w:after="120"/>
      </w:pPr>
      <w:r>
        <w:t>Table 5.6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[29].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5.6: Lexical diversity and boilerplate repetition of selected systems</w:t>
      </w:r>
    </w:p>
    <w:p>
      <w:pPr>
        <w:pStyle w:val="Heading1"/>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5.7 reports the results. The larger single model has the highest overall score (</w:t>
      </w:r>
      <w:r>
        <w:rPr>
          <w:b/>
        </w:rPr>
        <w:t>8.90</w:t>
      </w:r>
      <w:r>
        <w:t xml:space="preserve">), followed closely by the </w:t>
      </w:r>
      <w:r>
        <w:rPr>
          <w:b/>
        </w:rPr>
        <w:t>final system (8.68)</w:t>
      </w:r>
      <w:r>
        <w:t xml:space="preserve"> and top-1 Phi-4-mini prompting (8.65), and then by the same-size single model (8.24), the initial pipeline (8.04) and zero-shot prompting (7.51). </w:t>
      </w:r>
      <w:r>
        <w:rPr>
          <w:b/>
          <w:color w:val="B03A00"/>
        </w:rPr>
        <w:t>[[PENDING: AI-judge scores of the corrected fine-tuned baseline (gpt-oss-120b complete, Nemotron 3 Ultra in progress).]]</w:t>
      </w:r>
      <w:r>
        <w:t xml:space="preserve"> The final system scores 7.84 for empathy, 8.45 for relevance and 9.76 for safety. Empathy is the lowest of the three dimensions for every system, which indicates that the judges treat it as the most demanding criterion. Safety scores are high for every judged system (9.31 to 9.86). The two judges differ in severity: Nemotron 3 Ultra gives a lower average score than gpt-oss-120b to every system. Section 5.3.7 tests which of these differences are statistically significant and how closely the judges agree.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r>
    </w:tbl>
    <w:p/>
    <w:p>
      <w:r>
        <w:rPr>
          <w:i/>
          <w:sz w:val="20"/>
        </w:rPr>
        <w:t>Table 5.7: Average AI-judge scores (1-10) by system</w:t>
      </w:r>
    </w:p>
    <w:p>
      <w:pPr>
        <w:pStyle w:val="Heading1"/>
      </w:pPr>
      <w:r>
        <w:t>5.1.9 Human Evaluation</w:t>
      </w:r>
    </w:p>
    <w:p>
      <w:pPr>
        <w:spacing w:after="120"/>
      </w:pPr>
      <w:r>
        <w:t xml:space="preserve">To validate the automatic and AI-judge results, we conducted a forced-choice study with human participants (Table 5.8).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[27], [28]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r>
        <w:rPr>
          <w:i/>
          <w:sz w:val="20"/>
        </w:rPr>
        <w:t>Table 5.8: Design of the human-evaluation items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5.9: Human-evaluation results (to be completed)</w:t>
      </w:r>
    </w:p>
    <w:p>
      <w:pPr>
        <w:pStyle w:val="Heading1"/>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