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5.4.9). The cost of the design is rule adherence, which is lower than for the same generator used alone (60.0% against 73.7%). </w:t>
      </w:r>
      <w:r>
        <w:rPr>
          <w:b/>
        </w:rPr>
        <w:t>A larger single model, however, outperforms it</w:t>
      </w:r>
      <w:r>
        <w:t xml:space="preserve"> in rule adherence and empathy, although the AI judges' overall scores for the two do not differ significantly after correction (8.90 against 8.68).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5.4.7), and </w:t>
      </w:r>
      <w:r>
        <w:rPr>
          <w:b/>
        </w:rPr>
        <w:t>application-oriented</w:t>
      </w:r>
      <w:r>
        <w:t>, running locally as a multi-turn agent that exposes its emotional reasoning (Section 5.6.5).</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AI-judge empathy (8.15 against 7.84).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5.2.4).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1"/>
      </w:pPr>
      <w:r>
        <w:t>5.6.6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5.4.8). The WASSA classifier was trained on peer discussions of news articles, produces coarse classes and rewards length [14]. Emotion validation relies on our own detector. AI judges may favour longer answers [13], and the planned three-judge panel was reduced to two judges when one became unavailable, although the two panels agree closely on the systems both scored.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 measurement.</w:t>
      </w:r>
      <w:r>
        <w:t xml:space="preserve"> Memory use and response time were measured on a single GPU over 50 messages, so they are indicative rather than general.</w:t>
      </w:r>
    </w:p>
    <w:p>
      <w:pPr>
        <w:pStyle w:val="Heading1"/>
      </w:pPr>
      <w:r>
        <w:t>5.6.7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1"/>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