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a 1.5B single model, but a 7.6B single model remains stronger on rule adherence and empathy;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it (R1) acknowledges the feeling, (R2) asks exactly one question and (R3) stays within 120 words. R1 and R2 correspond to the </w:t>
      </w:r>
      <w:r>
        <w:rPr>
          <w:rFonts w:ascii="Times New Roman" w:hAnsi="Times New Roman"/>
          <w:i/>
          <w:sz w:val="20"/>
        </w:rPr>
        <w:t>emotional reactions</w:t>
      </w:r>
      <w:r>
        <w:rPr>
          <w:rFonts w:ascii="Times New Roman" w:hAnsi="Times New Roman"/>
          <w:sz w:val="20"/>
        </w:rPr>
        <w:t xml:space="preserve"> and </w:t>
      </w:r>
      <w:r>
        <w:rPr>
          <w:rFonts w:ascii="Times New Roman" w:hAnsi="Times New Roman"/>
          <w:i/>
          <w:sz w:val="20"/>
        </w:rPr>
        <w:t>explorations</w:t>
      </w:r>
      <w:r>
        <w:rPr>
          <w:rFonts w:ascii="Times New Roman" w:hAnsi="Times New Roman"/>
          <w:sz w:val="20"/>
        </w:rPr>
        <w:t xml:space="preserve"> mechanisms of empathy in text-based support [18], while asking several questions is the question-answer trap that counselling guidance warns against [19]. Within systems, replies with an acknowledgement score 0.36 points higher on WASSA (p &lt; 0.001) and replies within the length limit score 0.65 points higher on judged empathy (p = 0.006); the one-question rule is not rewarded by either measure and is justified as a usability requirement.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[20]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[21] (3.8B) loaded with 4-bit NF4 quantisation [22]. It was selected in a bake-off against Qwen2.5-1.5B [23]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[24]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[25]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[26],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320 replies it did score, the two- and three-judge averages correlate at Spearman ρ = 0.98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[27], the Wilcoxon signed-rank test for scores [28] and 95% bootstrap confidence intervals from 10,000 resamples [29]. P-values are Holm-corrected [30]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[31] and Hugging Face Transformers [32]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judging of this baseline was not complete at submission.</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340"/>
          </w:tcPr>
          <w:p>
            <w:pPr>
              <w:spacing w:before="0" w:after="0" w:line="240" w:lineRule="auto"/>
              <w:ind w:firstLine="0"/>
              <w:jc w:val="left"/>
            </w:pPr>
            <w:r/>
            <w:r>
              <w:rPr>
                <w:rFonts w:ascii="Times New Roman" w:hAnsi="Times New Roman"/>
                <w:b/>
                <w:sz w:val="16"/>
              </w:rPr>
              <w:t>System</w:t>
            </w:r>
          </w:p>
        </w:tc>
        <w:tc>
          <w:tcPr>
            <w:tcW w:type="dxa" w:w="723"/>
          </w:tcPr>
          <w:p>
            <w:pPr>
              <w:spacing w:before="0" w:after="0" w:line="240" w:lineRule="auto"/>
              <w:ind w:firstLine="0"/>
              <w:jc w:val="center"/>
            </w:pPr>
            <w:r/>
            <w:r>
              <w:rPr>
                <w:rFonts w:ascii="Times New Roman" w:hAnsi="Times New Roman"/>
                <w:b/>
                <w:sz w:val="16"/>
              </w:rPr>
              <w:t>Params</w:t>
            </w:r>
          </w:p>
        </w:tc>
        <w:tc>
          <w:tcPr>
            <w:tcW w:type="dxa" w:w="1085"/>
          </w:tcPr>
          <w:p>
            <w:pPr>
              <w:spacing w:before="0" w:after="0" w:line="240" w:lineRule="auto"/>
              <w:ind w:firstLine="0"/>
              <w:jc w:val="center"/>
            </w:pPr>
            <w:r/>
            <w:r>
              <w:rPr>
                <w:rFonts w:ascii="Times New Roman" w:hAnsi="Times New Roman"/>
                <w:b/>
                <w:sz w:val="16"/>
              </w:rPr>
              <w:t>Rules (%)</w:t>
            </w:r>
          </w:p>
        </w:tc>
        <w:tc>
          <w:tcPr>
            <w:tcW w:type="dxa" w:w="844"/>
          </w:tcPr>
          <w:p>
            <w:pPr>
              <w:spacing w:before="0" w:after="0" w:line="240" w:lineRule="auto"/>
              <w:ind w:firstLine="0"/>
              <w:jc w:val="center"/>
            </w:pPr>
            <w:r/>
            <w:r>
              <w:rPr>
                <w:rFonts w:ascii="Times New Roman" w:hAnsi="Times New Roman"/>
                <w:b/>
                <w:sz w:val="16"/>
              </w:rPr>
              <w:t>1 Q (%)</w:t>
            </w:r>
          </w:p>
        </w:tc>
        <w:tc>
          <w:tcPr>
            <w:tcW w:type="dxa" w:w="603"/>
          </w:tcPr>
          <w:p>
            <w:pPr>
              <w:spacing w:before="0" w:after="0" w:line="240" w:lineRule="auto"/>
              <w:ind w:firstLine="0"/>
              <w:jc w:val="center"/>
            </w:pPr>
            <w:r/>
            <w:r>
              <w:rPr>
                <w:rFonts w:ascii="Times New Roman" w:hAnsi="Times New Roman"/>
                <w:b/>
                <w:sz w:val="16"/>
              </w:rPr>
              <w:t>Words</w:t>
            </w:r>
          </w:p>
        </w:tc>
        <w:tc>
          <w:tcPr>
            <w:tcW w:type="dxa" w:w="603"/>
          </w:tcPr>
          <w:p>
            <w:pPr>
              <w:spacing w:before="0" w:after="0" w:line="240" w:lineRule="auto"/>
              <w:ind w:firstLine="0"/>
              <w:jc w:val="center"/>
            </w:pPr>
            <w:r/>
            <w:r>
              <w:rPr>
                <w:rFonts w:ascii="Times New Roman" w:hAnsi="Times New Roman"/>
                <w:b/>
                <w:sz w:val="16"/>
              </w:rPr>
              <w:t>WASSA</w:t>
            </w:r>
          </w:p>
        </w:tc>
        <w:tc>
          <w:tcPr>
            <w:tcW w:type="dxa" w:w="964"/>
          </w:tcPr>
          <w:p>
            <w:pPr>
              <w:spacing w:before="0" w:after="0" w:line="240" w:lineRule="auto"/>
              <w:ind w:firstLine="0"/>
              <w:jc w:val="center"/>
            </w:pPr>
            <w:r/>
            <w:r>
              <w:rPr>
                <w:rFonts w:ascii="Times New Roman" w:hAnsi="Times New Roman"/>
                <w:b/>
                <w:sz w:val="16"/>
              </w:rPr>
              <w:t>Val. (%)</w:t>
            </w:r>
          </w:p>
        </w:tc>
        <w:tc>
          <w:tcPr>
            <w:tcW w:type="dxa" w:w="603"/>
          </w:tcPr>
          <w:p>
            <w:pPr>
              <w:spacing w:before="0" w:after="0" w:line="240" w:lineRule="auto"/>
              <w:ind w:firstLine="0"/>
              <w:jc w:val="center"/>
            </w:pPr>
            <w:r/>
            <w:r>
              <w:rPr>
                <w:rFonts w:ascii="Times New Roman" w:hAnsi="Times New Roman"/>
                <w:b/>
                <w:sz w:val="16"/>
              </w:rPr>
              <w:t>Emp.</w:t>
            </w:r>
          </w:p>
        </w:tc>
        <w:tc>
          <w:tcPr>
            <w:tcW w:type="dxa" w:w="603"/>
          </w:tcPr>
          <w:p>
            <w:pPr>
              <w:spacing w:before="0" w:after="0" w:line="240" w:lineRule="auto"/>
              <w:ind w:firstLine="0"/>
              <w:jc w:val="center"/>
            </w:pPr>
            <w:r/>
            <w:r>
              <w:rPr>
                <w:rFonts w:ascii="Times New Roman" w:hAnsi="Times New Roman"/>
                <w:b/>
                <w:sz w:val="16"/>
              </w:rPr>
              <w:t>All</w:t>
            </w:r>
          </w:p>
        </w:tc>
      </w:tr>
      <w:tr>
        <w:tc>
          <w:tcPr>
            <w:tcW w:type="dxa" w:w="4340"/>
          </w:tcPr>
          <w:p>
            <w:pPr>
              <w:spacing w:before="0" w:after="0" w:line="240" w:lineRule="auto"/>
              <w:ind w:firstLine="0"/>
              <w:jc w:val="left"/>
            </w:pPr>
            <w:r/>
            <w:r>
              <w:rPr>
                <w:rFonts w:ascii="Times New Roman" w:hAnsi="Times New Roman"/>
                <w:sz w:val="16"/>
              </w:rPr>
              <w:t>Zero-shot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19.0</w:t>
            </w:r>
          </w:p>
        </w:tc>
        <w:tc>
          <w:tcPr>
            <w:tcW w:type="dxa" w:w="844"/>
          </w:tcPr>
          <w:p>
            <w:pPr>
              <w:spacing w:before="0" w:after="0" w:line="240" w:lineRule="auto"/>
              <w:ind w:firstLine="0"/>
              <w:jc w:val="center"/>
            </w:pPr>
            <w:r/>
            <w:r>
              <w:rPr>
                <w:rFonts w:ascii="Times New Roman" w:hAnsi="Times New Roman"/>
                <w:sz w:val="16"/>
              </w:rPr>
              <w:t>22.7</w:t>
            </w:r>
          </w:p>
        </w:tc>
        <w:tc>
          <w:tcPr>
            <w:tcW w:type="dxa" w:w="603"/>
          </w:tcPr>
          <w:p>
            <w:pPr>
              <w:spacing w:before="0" w:after="0" w:line="240" w:lineRule="auto"/>
              <w:ind w:firstLine="0"/>
              <w:jc w:val="center"/>
            </w:pPr>
            <w:r/>
            <w:r>
              <w:rPr>
                <w:rFonts w:ascii="Times New Roman" w:hAnsi="Times New Roman"/>
                <w:sz w:val="16"/>
              </w:rPr>
              <w:t>75.9</w:t>
            </w:r>
          </w:p>
        </w:tc>
        <w:tc>
          <w:tcPr>
            <w:tcW w:type="dxa" w:w="603"/>
          </w:tcPr>
          <w:p>
            <w:pPr>
              <w:spacing w:before="0" w:after="0" w:line="240" w:lineRule="auto"/>
              <w:ind w:firstLine="0"/>
              <w:jc w:val="center"/>
            </w:pPr>
            <w:r/>
            <w:r>
              <w:rPr>
                <w:rFonts w:ascii="Times New Roman" w:hAnsi="Times New Roman"/>
                <w:sz w:val="16"/>
              </w:rPr>
              <w:t>4.25</w:t>
            </w:r>
          </w:p>
        </w:tc>
        <w:tc>
          <w:tcPr>
            <w:tcW w:type="dxa" w:w="964"/>
          </w:tcPr>
          <w:p>
            <w:pPr>
              <w:spacing w:before="0" w:after="0" w:line="240" w:lineRule="auto"/>
              <w:ind w:firstLine="0"/>
              <w:jc w:val="center"/>
            </w:pPr>
            <w:r/>
            <w:r>
              <w:rPr>
                <w:rFonts w:ascii="Times New Roman" w:hAnsi="Times New Roman"/>
                <w:sz w:val="16"/>
              </w:rPr>
              <w:t>24.7</w:t>
            </w:r>
          </w:p>
        </w:tc>
        <w:tc>
          <w:tcPr>
            <w:tcW w:type="dxa" w:w="603"/>
          </w:tcPr>
          <w:p>
            <w:pPr>
              <w:spacing w:before="0" w:after="0" w:line="240" w:lineRule="auto"/>
              <w:ind w:firstLine="0"/>
              <w:jc w:val="center"/>
            </w:pPr>
            <w:r/>
            <w:r>
              <w:rPr>
                <w:rFonts w:ascii="Times New Roman" w:hAnsi="Times New Roman"/>
                <w:sz w:val="16"/>
              </w:rPr>
              <w:t>5.98</w:t>
            </w:r>
          </w:p>
        </w:tc>
        <w:tc>
          <w:tcPr>
            <w:tcW w:type="dxa" w:w="603"/>
          </w:tcPr>
          <w:p>
            <w:pPr>
              <w:spacing w:before="0" w:after="0" w:line="240" w:lineRule="auto"/>
              <w:ind w:firstLine="0"/>
              <w:jc w:val="center"/>
            </w:pPr>
            <w:r/>
            <w:r>
              <w:rPr>
                <w:rFonts w:ascii="Times New Roman" w:hAnsi="Times New Roman"/>
                <w:sz w:val="16"/>
              </w:rPr>
              <w:t>7.51</w:t>
            </w:r>
          </w:p>
        </w:tc>
      </w:tr>
      <w:tr>
        <w:tc>
          <w:tcPr>
            <w:tcW w:type="dxa" w:w="4340"/>
          </w:tcPr>
          <w:p>
            <w:pPr>
              <w:spacing w:before="0" w:after="0" w:line="240" w:lineRule="auto"/>
              <w:ind w:firstLine="0"/>
              <w:jc w:val="left"/>
            </w:pPr>
            <w:r/>
            <w:r>
              <w:rPr>
                <w:rFonts w:ascii="Times New Roman" w:hAnsi="Times New Roman"/>
                <w:sz w:val="16"/>
              </w:rPr>
              <w:t>Fine-tuned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22.3</w:t>
            </w:r>
          </w:p>
        </w:tc>
        <w:tc>
          <w:tcPr>
            <w:tcW w:type="dxa" w:w="844"/>
          </w:tcPr>
          <w:p>
            <w:pPr>
              <w:spacing w:before="0" w:after="0" w:line="240" w:lineRule="auto"/>
              <w:ind w:firstLine="0"/>
              <w:jc w:val="center"/>
            </w:pPr>
            <w:r/>
            <w:r>
              <w:rPr>
                <w:rFonts w:ascii="Times New Roman" w:hAnsi="Times New Roman"/>
                <w:sz w:val="16"/>
              </w:rPr>
              <w:t>74.0</w:t>
            </w:r>
          </w:p>
        </w:tc>
        <w:tc>
          <w:tcPr>
            <w:tcW w:type="dxa" w:w="603"/>
          </w:tcPr>
          <w:p>
            <w:pPr>
              <w:spacing w:before="0" w:after="0" w:line="240" w:lineRule="auto"/>
              <w:ind w:firstLine="0"/>
              <w:jc w:val="center"/>
            </w:pPr>
            <w:r/>
            <w:r>
              <w:rPr>
                <w:rFonts w:ascii="Times New Roman" w:hAnsi="Times New Roman"/>
                <w:sz w:val="16"/>
              </w:rPr>
              <w:t>10.0</w:t>
            </w:r>
          </w:p>
        </w:tc>
        <w:tc>
          <w:tcPr>
            <w:tcW w:type="dxa" w:w="603"/>
          </w:tcPr>
          <w:p>
            <w:pPr>
              <w:spacing w:before="0" w:after="0" w:line="240" w:lineRule="auto"/>
              <w:ind w:firstLine="0"/>
              <w:jc w:val="center"/>
            </w:pPr>
            <w:r/>
            <w:r>
              <w:rPr>
                <w:rFonts w:ascii="Times New Roman" w:hAnsi="Times New Roman"/>
                <w:sz w:val="16"/>
              </w:rPr>
              <w:t>3.36</w:t>
            </w:r>
          </w:p>
        </w:tc>
        <w:tc>
          <w:tcPr>
            <w:tcW w:type="dxa" w:w="964"/>
          </w:tcPr>
          <w:p>
            <w:pPr>
              <w:spacing w:before="0" w:after="0" w:line="240" w:lineRule="auto"/>
              <w:ind w:firstLine="0"/>
              <w:jc w:val="center"/>
            </w:pPr>
            <w:r/>
            <w:r>
              <w:rPr>
                <w:rFonts w:ascii="Times New Roman" w:hAnsi="Times New Roman"/>
                <w:sz w:val="16"/>
              </w:rPr>
              <w:t>18.3</w:t>
            </w:r>
          </w:p>
        </w:tc>
        <w:tc>
          <w:tcPr>
            <w:tcW w:type="dxa" w:w="603"/>
          </w:tcPr>
          <w:p>
            <w:pPr>
              <w:spacing w:before="0" w:after="0" w:line="240" w:lineRule="auto"/>
              <w:ind w:firstLine="0"/>
              <w:jc w:val="center"/>
            </w:pPr>
            <w:r/>
            <w:r>
              <w:rPr>
                <w:rFonts w:ascii="Times New Roman" w:hAnsi="Times New Roman"/>
                <w:sz w:val="16"/>
              </w:rPr>
              <w:t>n/a</w:t>
            </w:r>
          </w:p>
        </w:tc>
        <w:tc>
          <w:tcPr>
            <w:tcW w:type="dxa" w:w="603"/>
          </w:tcPr>
          <w:p>
            <w:pPr>
              <w:spacing w:before="0" w:after="0" w:line="240" w:lineRule="auto"/>
              <w:ind w:firstLine="0"/>
              <w:jc w:val="center"/>
            </w:pPr>
            <w:r/>
            <w:r>
              <w:rPr>
                <w:rFonts w:ascii="Times New Roman" w:hAnsi="Times New Roman"/>
                <w:sz w:val="16"/>
              </w:rPr>
              <w:t>n/a</w:t>
            </w:r>
          </w:p>
        </w:tc>
      </w:tr>
      <w:tr>
        <w:tc>
          <w:tcPr>
            <w:tcW w:type="dxa" w:w="4340"/>
          </w:tcPr>
          <w:p>
            <w:pPr>
              <w:spacing w:before="0" w:after="0" w:line="240" w:lineRule="auto"/>
              <w:ind w:firstLine="0"/>
              <w:jc w:val="left"/>
            </w:pPr>
            <w:r/>
            <w:r>
              <w:rPr>
                <w:rFonts w:ascii="Times New Roman" w:hAnsi="Times New Roman"/>
                <w:sz w:val="16"/>
              </w:rPr>
              <w:t>Single model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51.3</w:t>
            </w:r>
          </w:p>
        </w:tc>
        <w:tc>
          <w:tcPr>
            <w:tcW w:type="dxa" w:w="844"/>
          </w:tcPr>
          <w:p>
            <w:pPr>
              <w:spacing w:before="0" w:after="0" w:line="240" w:lineRule="auto"/>
              <w:ind w:firstLine="0"/>
              <w:jc w:val="center"/>
            </w:pPr>
            <w:r/>
            <w:r>
              <w:rPr>
                <w:rFonts w:ascii="Times New Roman" w:hAnsi="Times New Roman"/>
                <w:sz w:val="16"/>
              </w:rPr>
              <w:t>73.7</w:t>
            </w:r>
          </w:p>
        </w:tc>
        <w:tc>
          <w:tcPr>
            <w:tcW w:type="dxa" w:w="603"/>
          </w:tcPr>
          <w:p>
            <w:pPr>
              <w:spacing w:before="0" w:after="0" w:line="240" w:lineRule="auto"/>
              <w:ind w:firstLine="0"/>
              <w:jc w:val="center"/>
            </w:pPr>
            <w:r/>
            <w:r>
              <w:rPr>
                <w:rFonts w:ascii="Times New Roman" w:hAnsi="Times New Roman"/>
                <w:sz w:val="16"/>
              </w:rPr>
              <w:t>42.0</w:t>
            </w:r>
          </w:p>
        </w:tc>
        <w:tc>
          <w:tcPr>
            <w:tcW w:type="dxa" w:w="603"/>
          </w:tcPr>
          <w:p>
            <w:pPr>
              <w:spacing w:before="0" w:after="0" w:line="240" w:lineRule="auto"/>
              <w:ind w:firstLine="0"/>
              <w:jc w:val="center"/>
            </w:pPr>
            <w:r/>
            <w:r>
              <w:rPr>
                <w:rFonts w:ascii="Times New Roman" w:hAnsi="Times New Roman"/>
                <w:sz w:val="16"/>
              </w:rPr>
              <w:t>4.84</w:t>
            </w:r>
          </w:p>
        </w:tc>
        <w:tc>
          <w:tcPr>
            <w:tcW w:type="dxa" w:w="964"/>
          </w:tcPr>
          <w:p>
            <w:pPr>
              <w:spacing w:before="0" w:after="0" w:line="240" w:lineRule="auto"/>
              <w:ind w:firstLine="0"/>
              <w:jc w:val="center"/>
            </w:pPr>
            <w:r/>
            <w:r>
              <w:rPr>
                <w:rFonts w:ascii="Times New Roman" w:hAnsi="Times New Roman"/>
                <w:sz w:val="16"/>
              </w:rPr>
              <w:t>25.7</w:t>
            </w:r>
          </w:p>
        </w:tc>
        <w:tc>
          <w:tcPr>
            <w:tcW w:type="dxa" w:w="603"/>
          </w:tcPr>
          <w:p>
            <w:pPr>
              <w:spacing w:before="0" w:after="0" w:line="240" w:lineRule="auto"/>
              <w:ind w:firstLine="0"/>
              <w:jc w:val="center"/>
            </w:pPr>
            <w:r/>
            <w:r>
              <w:rPr>
                <w:rFonts w:ascii="Times New Roman" w:hAnsi="Times New Roman"/>
                <w:sz w:val="16"/>
              </w:rPr>
              <w:t>7.15</w:t>
            </w:r>
          </w:p>
        </w:tc>
        <w:tc>
          <w:tcPr>
            <w:tcW w:type="dxa" w:w="603"/>
          </w:tcPr>
          <w:p>
            <w:pPr>
              <w:spacing w:before="0" w:after="0" w:line="240" w:lineRule="auto"/>
              <w:ind w:firstLine="0"/>
              <w:jc w:val="center"/>
            </w:pPr>
            <w:r/>
            <w:r>
              <w:rPr>
                <w:rFonts w:ascii="Times New Roman" w:hAnsi="Times New Roman"/>
                <w:sz w:val="16"/>
              </w:rPr>
              <w:t>8.24</w:t>
            </w:r>
          </w:p>
        </w:tc>
      </w:tr>
      <w:tr>
        <w:tc>
          <w:tcPr>
            <w:tcW w:type="dxa" w:w="4340"/>
          </w:tcPr>
          <w:p>
            <w:pPr>
              <w:spacing w:before="0" w:after="0" w:line="240" w:lineRule="auto"/>
              <w:ind w:firstLine="0"/>
              <w:jc w:val="left"/>
            </w:pPr>
            <w:r/>
            <w:r>
              <w:rPr>
                <w:rFonts w:ascii="Times New Roman" w:hAnsi="Times New Roman"/>
                <w:sz w:val="16"/>
              </w:rPr>
              <w:t>Single model Qwen2.5-7B</w:t>
            </w:r>
          </w:p>
        </w:tc>
        <w:tc>
          <w:tcPr>
            <w:tcW w:type="dxa" w:w="723"/>
          </w:tcPr>
          <w:p>
            <w:pPr>
              <w:spacing w:before="0" w:after="0" w:line="240" w:lineRule="auto"/>
              <w:ind w:firstLine="0"/>
              <w:jc w:val="center"/>
            </w:pPr>
            <w:r/>
            <w:r>
              <w:rPr>
                <w:rFonts w:ascii="Times New Roman" w:hAnsi="Times New Roman"/>
                <w:sz w:val="16"/>
              </w:rPr>
              <w:t>7.6</w:t>
            </w:r>
          </w:p>
        </w:tc>
        <w:tc>
          <w:tcPr>
            <w:tcW w:type="dxa" w:w="1085"/>
          </w:tcPr>
          <w:p>
            <w:pPr>
              <w:spacing w:before="0" w:after="0" w:line="240" w:lineRule="auto"/>
              <w:ind w:firstLine="0"/>
              <w:jc w:val="center"/>
            </w:pPr>
            <w:r/>
            <w:r>
              <w:rPr>
                <w:rFonts w:ascii="Times New Roman" w:hAnsi="Times New Roman"/>
                <w:b/>
                <w:sz w:val="16"/>
              </w:rPr>
              <w:t>82.3</w:t>
            </w:r>
          </w:p>
        </w:tc>
        <w:tc>
          <w:tcPr>
            <w:tcW w:type="dxa" w:w="844"/>
          </w:tcPr>
          <w:p>
            <w:pPr>
              <w:spacing w:before="0" w:after="0" w:line="240" w:lineRule="auto"/>
              <w:ind w:firstLine="0"/>
              <w:jc w:val="center"/>
            </w:pPr>
            <w:r/>
            <w:r>
              <w:rPr>
                <w:rFonts w:ascii="Times New Roman" w:hAnsi="Times New Roman"/>
                <w:b/>
                <w:sz w:val="16"/>
              </w:rPr>
              <w:t>99.0</w:t>
            </w:r>
          </w:p>
        </w:tc>
        <w:tc>
          <w:tcPr>
            <w:tcW w:type="dxa" w:w="603"/>
          </w:tcPr>
          <w:p>
            <w:pPr>
              <w:spacing w:before="0" w:after="0" w:line="240" w:lineRule="auto"/>
              <w:ind w:firstLine="0"/>
              <w:jc w:val="center"/>
            </w:pPr>
            <w:r/>
            <w:r>
              <w:rPr>
                <w:rFonts w:ascii="Times New Roman" w:hAnsi="Times New Roman"/>
                <w:sz w:val="16"/>
              </w:rPr>
              <w:t>53.0</w:t>
            </w:r>
          </w:p>
        </w:tc>
        <w:tc>
          <w:tcPr>
            <w:tcW w:type="dxa" w:w="603"/>
          </w:tcPr>
          <w:p>
            <w:pPr>
              <w:spacing w:before="0" w:after="0" w:line="240" w:lineRule="auto"/>
              <w:ind w:firstLine="0"/>
              <w:jc w:val="center"/>
            </w:pPr>
            <w:r/>
            <w:r>
              <w:rPr>
                <w:rFonts w:ascii="Times New Roman" w:hAnsi="Times New Roman"/>
                <w:b/>
                <w:sz w:val="16"/>
              </w:rPr>
              <w:t>5.76</w:t>
            </w:r>
          </w:p>
        </w:tc>
        <w:tc>
          <w:tcPr>
            <w:tcW w:type="dxa" w:w="964"/>
          </w:tcPr>
          <w:p>
            <w:pPr>
              <w:spacing w:before="0" w:after="0" w:line="240" w:lineRule="auto"/>
              <w:ind w:firstLine="0"/>
              <w:jc w:val="center"/>
            </w:pPr>
            <w:r/>
            <w:r>
              <w:rPr>
                <w:rFonts w:ascii="Times New Roman" w:hAnsi="Times New Roman"/>
                <w:sz w:val="16"/>
              </w:rPr>
              <w:t>32.3</w:t>
            </w:r>
          </w:p>
        </w:tc>
        <w:tc>
          <w:tcPr>
            <w:tcW w:type="dxa" w:w="603"/>
          </w:tcPr>
          <w:p>
            <w:pPr>
              <w:spacing w:before="0" w:after="0" w:line="240" w:lineRule="auto"/>
              <w:ind w:firstLine="0"/>
              <w:jc w:val="center"/>
            </w:pPr>
            <w:r/>
            <w:r>
              <w:rPr>
                <w:rFonts w:ascii="Times New Roman" w:hAnsi="Times New Roman"/>
                <w:b/>
                <w:sz w:val="16"/>
              </w:rPr>
              <w:t>8.15</w:t>
            </w:r>
          </w:p>
        </w:tc>
        <w:tc>
          <w:tcPr>
            <w:tcW w:type="dxa" w:w="603"/>
          </w:tcPr>
          <w:p>
            <w:pPr>
              <w:spacing w:before="0" w:after="0" w:line="240" w:lineRule="auto"/>
              <w:ind w:firstLine="0"/>
              <w:jc w:val="center"/>
            </w:pPr>
            <w:r/>
            <w:r>
              <w:rPr>
                <w:rFonts w:ascii="Times New Roman" w:hAnsi="Times New Roman"/>
                <w:b/>
                <w:sz w:val="16"/>
              </w:rPr>
              <w:t>8.90</w:t>
            </w:r>
          </w:p>
        </w:tc>
      </w:tr>
      <w:tr>
        <w:tc>
          <w:tcPr>
            <w:tcW w:type="dxa" w:w="4340"/>
          </w:tcPr>
          <w:p>
            <w:pPr>
              <w:spacing w:before="0" w:after="0" w:line="240" w:lineRule="auto"/>
              <w:ind w:firstLine="0"/>
              <w:jc w:val="left"/>
            </w:pPr>
            <w:r/>
            <w:r>
              <w:rPr>
                <w:rFonts w:ascii="Times New Roman" w:hAnsi="Times New Roman"/>
                <w:sz w:val="16"/>
              </w:rPr>
              <w:t>Initial pipeline (GPT-2 + Qwen-1.5B)</w:t>
            </w:r>
          </w:p>
        </w:tc>
        <w:tc>
          <w:tcPr>
            <w:tcW w:type="dxa" w:w="723"/>
          </w:tcPr>
          <w:p>
            <w:pPr>
              <w:spacing w:before="0" w:after="0" w:line="240" w:lineRule="auto"/>
              <w:ind w:firstLine="0"/>
              <w:jc w:val="center"/>
            </w:pPr>
            <w:r/>
            <w:r>
              <w:rPr>
                <w:rFonts w:ascii="Times New Roman" w:hAnsi="Times New Roman"/>
                <w:sz w:val="16"/>
              </w:rPr>
              <w:t>1.9</w:t>
            </w:r>
          </w:p>
        </w:tc>
        <w:tc>
          <w:tcPr>
            <w:tcW w:type="dxa" w:w="1085"/>
          </w:tcPr>
          <w:p>
            <w:pPr>
              <w:spacing w:before="0" w:after="0" w:line="240" w:lineRule="auto"/>
              <w:ind w:firstLine="0"/>
              <w:jc w:val="center"/>
            </w:pPr>
            <w:r/>
            <w:r>
              <w:rPr>
                <w:rFonts w:ascii="Times New Roman" w:hAnsi="Times New Roman"/>
                <w:sz w:val="16"/>
              </w:rPr>
              <w:t>63.7</w:t>
            </w:r>
          </w:p>
        </w:tc>
        <w:tc>
          <w:tcPr>
            <w:tcW w:type="dxa" w:w="844"/>
          </w:tcPr>
          <w:p>
            <w:pPr>
              <w:spacing w:before="0" w:after="0" w:line="240" w:lineRule="auto"/>
              <w:ind w:firstLine="0"/>
              <w:jc w:val="center"/>
            </w:pPr>
            <w:r/>
            <w:r>
              <w:rPr>
                <w:rFonts w:ascii="Times New Roman" w:hAnsi="Times New Roman"/>
                <w:sz w:val="16"/>
              </w:rPr>
              <w:t>87.3</w:t>
            </w:r>
          </w:p>
        </w:tc>
        <w:tc>
          <w:tcPr>
            <w:tcW w:type="dxa" w:w="603"/>
          </w:tcPr>
          <w:p>
            <w:pPr>
              <w:spacing w:before="0" w:after="0" w:line="240" w:lineRule="auto"/>
              <w:ind w:firstLine="0"/>
              <w:jc w:val="center"/>
            </w:pPr>
            <w:r/>
            <w:r>
              <w:rPr>
                <w:rFonts w:ascii="Times New Roman" w:hAnsi="Times New Roman"/>
                <w:sz w:val="16"/>
              </w:rPr>
              <w:t>35.2</w:t>
            </w:r>
          </w:p>
        </w:tc>
        <w:tc>
          <w:tcPr>
            <w:tcW w:type="dxa" w:w="603"/>
          </w:tcPr>
          <w:p>
            <w:pPr>
              <w:spacing w:before="0" w:after="0" w:line="240" w:lineRule="auto"/>
              <w:ind w:firstLine="0"/>
              <w:jc w:val="center"/>
            </w:pPr>
            <w:r/>
            <w:r>
              <w:rPr>
                <w:rFonts w:ascii="Times New Roman" w:hAnsi="Times New Roman"/>
                <w:sz w:val="16"/>
              </w:rPr>
              <w:t>4.80</w:t>
            </w:r>
          </w:p>
        </w:tc>
        <w:tc>
          <w:tcPr>
            <w:tcW w:type="dxa" w:w="964"/>
          </w:tcPr>
          <w:p>
            <w:pPr>
              <w:spacing w:before="0" w:after="0" w:line="240" w:lineRule="auto"/>
              <w:ind w:firstLine="0"/>
              <w:jc w:val="center"/>
            </w:pPr>
            <w:r/>
            <w:r>
              <w:rPr>
                <w:rFonts w:ascii="Times New Roman" w:hAnsi="Times New Roman"/>
                <w:sz w:val="16"/>
              </w:rPr>
              <w:t>26.0</w:t>
            </w:r>
          </w:p>
        </w:tc>
        <w:tc>
          <w:tcPr>
            <w:tcW w:type="dxa" w:w="603"/>
          </w:tcPr>
          <w:p>
            <w:pPr>
              <w:spacing w:before="0" w:after="0" w:line="240" w:lineRule="auto"/>
              <w:ind w:firstLine="0"/>
              <w:jc w:val="center"/>
            </w:pPr>
            <w:r/>
            <w:r>
              <w:rPr>
                <w:rFonts w:ascii="Times New Roman" w:hAnsi="Times New Roman"/>
                <w:sz w:val="16"/>
              </w:rPr>
              <w:t>6.98</w:t>
            </w:r>
          </w:p>
        </w:tc>
        <w:tc>
          <w:tcPr>
            <w:tcW w:type="dxa" w:w="603"/>
          </w:tcPr>
          <w:p>
            <w:pPr>
              <w:spacing w:before="0" w:after="0" w:line="240" w:lineRule="auto"/>
              <w:ind w:firstLine="0"/>
              <w:jc w:val="center"/>
            </w:pPr>
            <w:r/>
            <w:r>
              <w:rPr>
                <w:rFonts w:ascii="Times New Roman" w:hAnsi="Times New Roman"/>
                <w:sz w:val="16"/>
              </w:rPr>
              <w:t>8.04</w:t>
            </w:r>
          </w:p>
        </w:tc>
      </w:tr>
      <w:tr>
        <w:tc>
          <w:tcPr>
            <w:tcW w:type="dxa" w:w="4340"/>
          </w:tcPr>
          <w:p>
            <w:pPr>
              <w:spacing w:before="0" w:after="0" w:line="240" w:lineRule="auto"/>
              <w:ind w:firstLine="0"/>
              <w:jc w:val="left"/>
            </w:pPr>
            <w:r/>
            <w:r>
              <w:rPr>
                <w:rFonts w:ascii="Times New Roman" w:hAnsi="Times New Roman"/>
                <w:sz w:val="16"/>
              </w:rPr>
              <w:t>RoBERTa + Qwen-1.5B, top-1</w:t>
            </w:r>
          </w:p>
        </w:tc>
        <w:tc>
          <w:tcPr>
            <w:tcW w:type="dxa" w:w="723"/>
          </w:tcPr>
          <w:p>
            <w:pPr>
              <w:spacing w:before="0" w:after="0" w:line="240" w:lineRule="auto"/>
              <w:ind w:firstLine="0"/>
              <w:jc w:val="center"/>
            </w:pPr>
            <w:r/>
            <w:r>
              <w:rPr>
                <w:rFonts w:ascii="Times New Roman" w:hAnsi="Times New Roman"/>
                <w:sz w:val="16"/>
              </w:rPr>
              <w:t>1.7</w:t>
            </w:r>
          </w:p>
        </w:tc>
        <w:tc>
          <w:tcPr>
            <w:tcW w:type="dxa" w:w="1085"/>
          </w:tcPr>
          <w:p>
            <w:pPr>
              <w:spacing w:before="0" w:after="0" w:line="240" w:lineRule="auto"/>
              <w:ind w:firstLine="0"/>
              <w:jc w:val="center"/>
            </w:pPr>
            <w:r/>
            <w:r>
              <w:rPr>
                <w:rFonts w:ascii="Times New Roman" w:hAnsi="Times New Roman"/>
                <w:sz w:val="16"/>
              </w:rPr>
              <w:t>57.7</w:t>
            </w:r>
          </w:p>
        </w:tc>
        <w:tc>
          <w:tcPr>
            <w:tcW w:type="dxa" w:w="844"/>
          </w:tcPr>
          <w:p>
            <w:pPr>
              <w:spacing w:before="0" w:after="0" w:line="240" w:lineRule="auto"/>
              <w:ind w:firstLine="0"/>
              <w:jc w:val="center"/>
            </w:pPr>
            <w:r/>
            <w:r>
              <w:rPr>
                <w:rFonts w:ascii="Times New Roman" w:hAnsi="Times New Roman"/>
                <w:sz w:val="16"/>
              </w:rPr>
              <w:t>84.3</w:t>
            </w:r>
          </w:p>
        </w:tc>
        <w:tc>
          <w:tcPr>
            <w:tcW w:type="dxa" w:w="603"/>
          </w:tcPr>
          <w:p>
            <w:pPr>
              <w:spacing w:before="0" w:after="0" w:line="240" w:lineRule="auto"/>
              <w:ind w:firstLine="0"/>
              <w:jc w:val="center"/>
            </w:pPr>
            <w:r/>
            <w:r>
              <w:rPr>
                <w:rFonts w:ascii="Times New Roman" w:hAnsi="Times New Roman"/>
                <w:sz w:val="16"/>
              </w:rPr>
              <w:t>34.7</w:t>
            </w:r>
          </w:p>
        </w:tc>
        <w:tc>
          <w:tcPr>
            <w:tcW w:type="dxa" w:w="603"/>
          </w:tcPr>
          <w:p>
            <w:pPr>
              <w:spacing w:before="0" w:after="0" w:line="240" w:lineRule="auto"/>
              <w:ind w:firstLine="0"/>
              <w:jc w:val="center"/>
            </w:pPr>
            <w:r/>
            <w:r>
              <w:rPr>
                <w:rFonts w:ascii="Times New Roman" w:hAnsi="Times New Roman"/>
                <w:sz w:val="16"/>
              </w:rPr>
              <w:t>4.78</w:t>
            </w:r>
          </w:p>
        </w:tc>
        <w:tc>
          <w:tcPr>
            <w:tcW w:type="dxa" w:w="964"/>
          </w:tcPr>
          <w:p>
            <w:pPr>
              <w:spacing w:before="0" w:after="0" w:line="240" w:lineRule="auto"/>
              <w:ind w:firstLine="0"/>
              <w:jc w:val="center"/>
            </w:pPr>
            <w:r/>
            <w:r>
              <w:rPr>
                <w:rFonts w:ascii="Times New Roman" w:hAnsi="Times New Roman"/>
                <w:sz w:val="16"/>
              </w:rPr>
              <w:t>25.3</w:t>
            </w:r>
          </w:p>
        </w:tc>
        <w:tc>
          <w:tcPr>
            <w:tcW w:type="dxa" w:w="603"/>
          </w:tcPr>
          <w:p>
            <w:pPr>
              <w:spacing w:before="0" w:after="0" w:line="240" w:lineRule="auto"/>
              <w:ind w:firstLine="0"/>
              <w:jc w:val="center"/>
            </w:pPr>
            <w:r/>
            <w:r>
              <w:rPr>
                <w:rFonts w:ascii="Times New Roman" w:hAnsi="Times New Roman"/>
                <w:sz w:val="16"/>
              </w:rPr>
              <w:t>-</w:t>
            </w:r>
          </w:p>
        </w:tc>
        <w:tc>
          <w:tcPr>
            <w:tcW w:type="dxa" w:w="603"/>
          </w:tcPr>
          <w:p>
            <w:pPr>
              <w:spacing w:before="0" w:after="0" w:line="240" w:lineRule="auto"/>
              <w:ind w:firstLine="0"/>
              <w:jc w:val="center"/>
            </w:pPr>
            <w:r/>
            <w:r>
              <w:rPr>
                <w:rFonts w:ascii="Times New Roman" w:hAnsi="Times New Roman"/>
                <w:sz w:val="16"/>
              </w:rPr>
              <w:t>-</w:t>
            </w:r>
          </w:p>
        </w:tc>
      </w:tr>
      <w:tr>
        <w:tc>
          <w:tcPr>
            <w:tcW w:type="dxa" w:w="4340"/>
          </w:tcPr>
          <w:p>
            <w:pPr>
              <w:spacing w:before="0" w:after="0" w:line="240" w:lineRule="auto"/>
              <w:ind w:firstLine="0"/>
              <w:jc w:val="left"/>
            </w:pPr>
            <w:r/>
            <w:r>
              <w:rPr>
                <w:rFonts w:ascii="Times New Roman" w:hAnsi="Times New Roman"/>
                <w:sz w:val="16"/>
              </w:rPr>
              <w:t>RoBERTa + Phi-4-mini, top-1</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65.3</w:t>
            </w:r>
          </w:p>
        </w:tc>
        <w:tc>
          <w:tcPr>
            <w:tcW w:type="dxa" w:w="844"/>
          </w:tcPr>
          <w:p>
            <w:pPr>
              <w:spacing w:before="0" w:after="0" w:line="240" w:lineRule="auto"/>
              <w:ind w:firstLine="0"/>
              <w:jc w:val="center"/>
            </w:pPr>
            <w:r/>
            <w:r>
              <w:rPr>
                <w:rFonts w:ascii="Times New Roman" w:hAnsi="Times New Roman"/>
                <w:sz w:val="16"/>
              </w:rPr>
              <w:t>94.7</w:t>
            </w:r>
          </w:p>
        </w:tc>
        <w:tc>
          <w:tcPr>
            <w:tcW w:type="dxa" w:w="603"/>
          </w:tcPr>
          <w:p>
            <w:pPr>
              <w:spacing w:before="0" w:after="0" w:line="240" w:lineRule="auto"/>
              <w:ind w:firstLine="0"/>
              <w:jc w:val="center"/>
            </w:pPr>
            <w:r/>
            <w:r>
              <w:rPr>
                <w:rFonts w:ascii="Times New Roman" w:hAnsi="Times New Roman"/>
                <w:sz w:val="16"/>
              </w:rPr>
              <w:t>80.5</w:t>
            </w:r>
          </w:p>
        </w:tc>
        <w:tc>
          <w:tcPr>
            <w:tcW w:type="dxa" w:w="603"/>
          </w:tcPr>
          <w:p>
            <w:pPr>
              <w:spacing w:before="0" w:after="0" w:line="240" w:lineRule="auto"/>
              <w:ind w:firstLine="0"/>
              <w:jc w:val="center"/>
            </w:pPr>
            <w:r/>
            <w:r>
              <w:rPr>
                <w:rFonts w:ascii="Times New Roman" w:hAnsi="Times New Roman"/>
                <w:sz w:val="16"/>
              </w:rPr>
              <w:t>4.89</w:t>
            </w:r>
          </w:p>
        </w:tc>
        <w:tc>
          <w:tcPr>
            <w:tcW w:type="dxa" w:w="964"/>
          </w:tcPr>
          <w:p>
            <w:pPr>
              <w:spacing w:before="0" w:after="0" w:line="240" w:lineRule="auto"/>
              <w:ind w:firstLine="0"/>
              <w:jc w:val="center"/>
            </w:pPr>
            <w:r/>
            <w:r>
              <w:rPr>
                <w:rFonts w:ascii="Times New Roman" w:hAnsi="Times New Roman"/>
                <w:sz w:val="16"/>
              </w:rPr>
              <w:t>28.3</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8.65</w:t>
            </w:r>
          </w:p>
        </w:tc>
      </w:tr>
      <w:tr>
        <w:tc>
          <w:tcPr>
            <w:tcW w:type="dxa" w:w="4340"/>
          </w:tcPr>
          <w:p>
            <w:pPr>
              <w:spacing w:before="0" w:after="0" w:line="240" w:lineRule="auto"/>
              <w:ind w:firstLine="0"/>
              <w:jc w:val="left"/>
            </w:pPr>
            <w:r/>
            <w:r>
              <w:rPr>
                <w:rFonts w:ascii="Times New Roman" w:hAnsi="Times New Roman"/>
                <w:b/>
                <w:sz w:val="16"/>
              </w:rPr>
              <w:t>Ours: two-stage RoBERTa + Phi-4-mini</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60.0</w:t>
            </w:r>
          </w:p>
        </w:tc>
        <w:tc>
          <w:tcPr>
            <w:tcW w:type="dxa" w:w="844"/>
          </w:tcPr>
          <w:p>
            <w:pPr>
              <w:spacing w:before="0" w:after="0" w:line="240" w:lineRule="auto"/>
              <w:ind w:firstLine="0"/>
              <w:jc w:val="center"/>
            </w:pPr>
            <w:r/>
            <w:r>
              <w:rPr>
                <w:rFonts w:ascii="Times New Roman" w:hAnsi="Times New Roman"/>
                <w:sz w:val="16"/>
              </w:rPr>
              <w:t>92.7</w:t>
            </w:r>
          </w:p>
        </w:tc>
        <w:tc>
          <w:tcPr>
            <w:tcW w:type="dxa" w:w="603"/>
          </w:tcPr>
          <w:p>
            <w:pPr>
              <w:spacing w:before="0" w:after="0" w:line="240" w:lineRule="auto"/>
              <w:ind w:firstLine="0"/>
              <w:jc w:val="center"/>
            </w:pPr>
            <w:r/>
            <w:r>
              <w:rPr>
                <w:rFonts w:ascii="Times New Roman" w:hAnsi="Times New Roman"/>
                <w:sz w:val="16"/>
              </w:rPr>
              <w:t>57.1</w:t>
            </w:r>
          </w:p>
        </w:tc>
        <w:tc>
          <w:tcPr>
            <w:tcW w:type="dxa" w:w="603"/>
          </w:tcPr>
          <w:p>
            <w:pPr>
              <w:spacing w:before="0" w:after="0" w:line="240" w:lineRule="auto"/>
              <w:ind w:firstLine="0"/>
              <w:jc w:val="center"/>
            </w:pPr>
            <w:r/>
            <w:r>
              <w:rPr>
                <w:rFonts w:ascii="Times New Roman" w:hAnsi="Times New Roman"/>
                <w:sz w:val="16"/>
              </w:rPr>
              <w:t>5.05</w:t>
            </w:r>
          </w:p>
        </w:tc>
        <w:tc>
          <w:tcPr>
            <w:tcW w:type="dxa" w:w="964"/>
          </w:tcPr>
          <w:p>
            <w:pPr>
              <w:spacing w:before="0" w:after="0" w:line="240" w:lineRule="auto"/>
              <w:ind w:firstLine="0"/>
              <w:jc w:val="center"/>
            </w:pPr>
            <w:r/>
            <w:r>
              <w:rPr>
                <w:rFonts w:ascii="Times New Roman" w:hAnsi="Times New Roman"/>
                <w:b/>
                <w:sz w:val="16"/>
              </w:rPr>
              <w:t>36.7</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WASSA and judge-rated empathy; the gap in the judges' overall score (-0.21) does not survive correction (corrected p = 0.073).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Two controlled comparisons separate the effects. </w:t>
      </w:r>
      <w:r>
        <w:rPr>
          <w:rFonts w:ascii="Times New Roman" w:hAnsi="Times New Roman"/>
          <w:i/>
          <w:sz w:val="20"/>
        </w:rPr>
        <w:t>Decoupling with the generator fixed</w:t>
      </w:r>
      <w:r>
        <w:rPr>
          <w:rFonts w:ascii="Times New Roman" w:hAnsi="Times New Roman"/>
          <w:sz w:val="20"/>
        </w:rPr>
        <w:t xml:space="preserve">: adding a detector to Qwen2.5-1.5B (initial pipeline against the 1.5B single model) raises rule adherence from 51.3% to 63.7% (McNemar p = 0.002), driven by the one-question rule (87.3% against 73.7%), but changes neither WASSA (4.80 against 4.84, p = 0.69), emotion validation (26.0% against 25.7%, p = 1.0) nor the judges' overall score (8.04 against 8.24, p = 0.14). </w:t>
      </w:r>
      <w:r>
        <w:rPr>
          <w:rFonts w:ascii="Times New Roman" w:hAnsi="Times New Roman"/>
          <w:i/>
          <w:sz w:val="20"/>
        </w:rPr>
        <w:t>Guidance with detector and generator fixed</w:t>
      </w:r>
      <w:r>
        <w:rPr>
          <w:rFonts w:ascii="Times New Roman" w:hAnsi="Times New Roman"/>
          <w:sz w:val="20"/>
        </w:rPr>
        <w:t xml:space="preserve">: the two-stage prompt improves empathy and emotion fidelity over top-1 prompting (Table II). Decoupling therefore mainly improves </w:t>
      </w:r>
      <w:r>
        <w:rPr>
          <w:rFonts w:ascii="Times New Roman" w:hAnsi="Times New Roman"/>
          <w:i/>
          <w:sz w:val="20"/>
        </w:rPr>
        <w:t>structural control</w:t>
      </w:r>
      <w:r>
        <w:rPr>
          <w:rFonts w:ascii="Times New Roman" w:hAnsi="Times New Roman"/>
          <w:sz w:val="20"/>
        </w:rPr>
        <w:t xml:space="preserve"> of the reply, whereas emotion-specific guidance improves its </w:t>
      </w:r>
      <w:r>
        <w:rPr>
          <w:rFonts w:ascii="Times New Roman" w:hAnsi="Times New Roman"/>
          <w:i/>
          <w:sz w:val="20"/>
        </w:rPr>
        <w:t>empathic content</w:t>
      </w:r>
      <w:r>
        <w:rPr>
          <w:rFonts w:ascii="Times New Roman" w:hAnsi="Times New Roman"/>
          <w:sz w:val="20"/>
        </w:rPr>
        <w:t>. The two-stage design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[33]. It achieves higher accuracy with less input for two reasons. First, it is initialised from RoBERTa, pre-trained on about 160 GB of text [20], whereas joint models such as MoEL and CASE start from GloVe word vectors and train their encoders on ED alone [5], [7]; RoBERTa-GPT2, which is built on pre-trained RoBERTa and GPT-2, reaches a comparable 51.5% [34],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judged systems exclude the fine-tuned baseline, whose judging was still in progress. The two judges agree with each other at Spearman ρ = 0.60 for empathy and overall across 384 replies of six systems, and rank them identically except for exchanging our system and top-1 Phi, whose scores differ by 0.03. At the system level, WASSA ranks the systems in nearly the same order as the judges (ρ = 0.94).</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We did not evaluate a single-model baseline built on Phi-4-mini, so the comparison with the 1.5B single model combines decoupling, guidance and generator capacity; Section V-C separates these only with the Qwen2.5-1.5B generator.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[35].</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empathetic and emotionally faithful than a 1.5B single model, although a 7.6B single model remains stronger. Detection accuracy is not the limiting factor; how the detected emotion is used matters more. Future work should complete the human preference study,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highlight w:val="yellow"/>
        </w:rPr>
        <w:t>PENDING: funding or supervision acknowledgment, added after review.</w:t>
      </w:r>
      <w:r>
        <w:rPr>
          <w:rFonts w:ascii="Times New Roman" w:hAnsi="Times New Roman"/>
          <w:sz w:val="20"/>
        </w:rPr>
        <w:t xml:space="preserve"> The authors used Claude (Anthropic) to assist with analysis scripts and with drafting and language editing of this manuscript. All experiments, results and text were reviewed, verified and revised by the authors, who take full responsibility for the content.</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A. Sharma, A. S. Miner, D. C. Atkins, and T. Althoff, "A computational approach to understanding empathy expressed in text-based mental health support," in Proc. 2020 Conf. Empirical Methods Natural Language Processing (EMNLP), 2020, pp. 5263-5276, doi: 10.18653/v1/2020.emnlp-main.425.</w:t>
      </w:r>
    </w:p>
    <w:p>
      <w:pPr>
        <w:spacing w:before="0" w:after="0" w:line="240" w:lineRule="auto"/>
        <w:ind w:left="432" w:hanging="432"/>
        <w:jc w:val="both"/>
      </w:pPr>
      <w:r>
        <w:rPr>
          <w:rFonts w:ascii="Times New Roman" w:hAnsi="Times New Roman"/>
          <w:sz w:val="16"/>
        </w:rPr>
        <w:t>[19]</w:t>
        <w:tab/>
        <w:t>Substance Abuse and Mental Health Services Administration, Enhancing Motivation for Change in Substance Use Disorder Treatment, Treatment Improvement Protocol (TIP) Series No. 35, SAMHSA Publication No. PEP19-02-01-003. Rockville, MD, USA: SAMHSA, 2019, ch. 3.</w:t>
      </w:r>
    </w:p>
    <w:p>
      <w:pPr>
        <w:spacing w:before="0" w:after="0" w:line="240" w:lineRule="auto"/>
        <w:ind w:left="432" w:hanging="432"/>
        <w:jc w:val="both"/>
      </w:pPr>
      <w:r>
        <w:rPr>
          <w:rFonts w:ascii="Times New Roman" w:hAnsi="Times New Roman"/>
          <w:sz w:val="16"/>
        </w:rPr>
        <w:t>[20]</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[21]</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[22]</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[23]</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[24]</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[25]</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[26]</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[27]</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[28]</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[29]</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[30]</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[31]</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[32]</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[33]</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[34]</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[35]</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