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2.3 Summary of Key Findings</w:t>
      </w:r>
    </w:p>
    <w:p>
      <w:pPr>
        <w:spacing w:after="120"/>
      </w:pPr>
      <w:r>
        <w:t>Research on empathetic response generation has moved from small models trained from scratch to large pre-trained language models. Early joint models such as MoEL, MIME and EmpDG treat emotion recognition as an auxiliary task and identify the speaker's emotion in only 30.6-31.2% of cases [20], [21], [22], [23]. Knowledge-enhanced successors, including KEMP, CEM, CASE and ESCM, raise this to 36.6-41.2% by adding commonsense and emotional knowledge [24], [2], [25], [26], and personality-aware multimodal generation reaches 45.4% on text-only EmpatheticDialogues [28]. Dedicated classifiers do better still: a fine-tuned RoBERTa model reaches 61.5% on the first utterance of each conversation [32], and fine-tuned encoders continue to outperform prompted LLMs at emotion classification [33]. On the generation side, instruction-following LLMs have changed the landscape. Human evaluators rate ChatGPT at 4.64 out of 5 for empathy against about 3.0 for the best trained models [23], and recent systems fine-tune LLMs of 7 to 72 billion parameters with knowledge tools or emotional-support data to improve further [27], [30].</w:t>
      </w:r>
    </w:p>
    <w:p>
      <w:pPr>
        <w:spacing w:after="120"/>
      </w:pPr>
      <w:r>
        <w:t xml:space="preserve">These advances leave four problems open. First, </w:t>
      </w:r>
      <w:r>
        <w:rPr>
          <w:b/>
        </w:rPr>
        <w:t>LLM empathy is fluent but difficult to control</w:t>
      </w:r>
      <w:r>
        <w:t xml:space="preserve">. LLMs repeat empathic phrases, forget initial instructions and produce lengthy responses that may be mistaken for greater empathy [29], yet none of the EmpatheticDialogues studies reviewed measures whether replies follow explicit interaction rules. Second, </w:t>
      </w:r>
      <w:r>
        <w:rPr>
          <w:b/>
        </w:rPr>
        <w:t>the strongest results depend on resources beyond a consumer GPU</w:t>
      </w:r>
      <w:r>
        <w:t xml:space="preserve">, such as fine-tuning models of tens of billions of parameters, multimodal input, or commercial APIs to which a user's disclosure must be sent. Third, </w:t>
      </w:r>
      <w:r>
        <w:rPr>
          <w:b/>
        </w:rPr>
        <w:t>emotion recognition is often evaluated on an easier input than a deployed system receives</w:t>
      </w:r>
      <w:r>
        <w:t xml:space="preserve">. Classifiers trained on situation descriptions read an explicit summary rather than the user's message [1], and joint models do not expose the emotion they recognise for inspection. Fourth, </w:t>
      </w:r>
      <w:r>
        <w:rPr>
          <w:b/>
        </w:rPr>
        <w:t>the statistical evidence is often thin</w:t>
      </w:r>
      <w:r>
        <w:t>. Most studies report differences in automatic metrics or small human studies without paired significance testing, and at least one reports empathy gains that are not statistically significant [31]. Future work should therefore pursue controllable and inspectable behaviour under realistic resource limits, emotion recognition evaluated on real conversational input, and conclusions supported by appropriate statistical tests.</w:t>
      </w:r>
    </w:p>
    <w:p>
      <w:pPr>
        <w:spacing w:after="120"/>
      </w:pPr>
      <w:r>
        <w:t>This thesis addresses these gaps as summarised in Table 2.2.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3EEFB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Gap</w:t>
            </w:r>
          </w:p>
        </w:tc>
        <w:tc>
          <w:tcPr>
            <w:tcW w:type="dxa" w:w="2340"/>
            <w:shd w:val="clear" w:color="auto" w:fill="E3EEFB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What the literature lacks</w:t>
            </w:r>
          </w:p>
        </w:tc>
        <w:tc>
          <w:tcPr>
            <w:tcW w:type="dxa" w:w="2340"/>
            <w:shd w:val="clear" w:color="auto" w:fill="E3EEFB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How this thesis addresses it</w:t>
            </w:r>
          </w:p>
        </w:tc>
        <w:tc>
          <w:tcPr>
            <w:tcW w:type="dxa" w:w="2340"/>
            <w:shd w:val="clear" w:color="auto" w:fill="E3EEFB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Section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6"/>
              </w:rPr>
              <w:t>G1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Measured control over interaction behaviour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Explicit response rules scored for every reply and compared against monolithic alternatives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4.2, 5.1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6"/>
              </w:rPr>
              <w:t>G2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Inspectable emotional reasoning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A separate detector whose top-3 candidates, chosen emotion and influential words are exposed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4.1, 4.2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6"/>
              </w:rPr>
              <w:t>G3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Small, self-hostable systems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A 125M-parameter detector and a 3.8B-parameter generator on a single 8 GB GPU, without fine-tuning the generator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4.2, 3.8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6"/>
              </w:rPr>
              <w:t>G4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Statistical rigour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Paired tests with confidence intervals and multiple-comparison correction, error-propagation analysis, and several independent evaluation signals</w:t>
            </w:r>
          </w:p>
        </w:tc>
        <w:tc>
          <w:tcPr>
            <w:tcW w:type="dxa" w:w="2340"/>
          </w:tcPr>
          <w:p>
            <w:r/>
            <w:r>
              <w:rPr>
                <w:sz w:val="16"/>
              </w:rPr>
              <w:t>5.3</w:t>
            </w:r>
          </w:p>
        </w:tc>
      </w:tr>
    </w:tbl>
    <w:p/>
    <w:p>
      <w:r>
        <w:rPr>
          <w:i/>
          <w:sz w:val="20"/>
        </w:rPr>
        <w:t>Table 2.2: Research gaps and how this thesis addresses them</w:t>
      </w:r>
    </w:p>
    <w:p>
      <w:pPr>
        <w:pStyle w:val="Heading1"/>
      </w:pPr>
      <w:r>
        <w:t>References</w:t>
      </w:r>
    </w:p>
    <w:p>
      <w:pPr>
        <w:ind w:left="576" w:hanging="576"/>
      </w:pPr>
      <w:r>
        <w:rPr>
          <w:sz w:val="20"/>
        </w:rPr>
        <w:t>[1]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[2]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[20]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[21]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[22]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[23]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[24]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[25]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[26]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[27]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[28]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[29]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[30]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[31]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[32]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[33]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