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5.6 Discussion</w:t>
      </w:r>
    </w:p>
    <w:p>
      <w:pPr>
        <w:pStyle w:val="IntenseQuote"/>
      </w:pPr>
      <w:r>
        <w:t>Note for the team (delete before submission): the rubric has no Section 5.5. Confirm the numbering with the supervisor. The closing paragraph must be written once the human-evaluation results are available.</w:t>
      </w:r>
    </w:p>
    <w:p>
      <w:pPr>
        <w:spacing w:after="120"/>
      </w:pPr>
      <w:r>
        <w:t>This section interprets the results as a whole: what they mean for the research question, why the unexpected results occurred, how the work answers the concerns of the Pre-Thesis 2 panel, what its limitations are, and what should follow.</w:t>
      </w:r>
    </w:p>
    <w:p>
      <w:pPr>
        <w:pStyle w:val="Heading1"/>
      </w:pPr>
      <w:r>
        <w:t>5.6.1 Answer to the Research Question</w:t>
      </w:r>
    </w:p>
    <w:p>
      <w:pPr>
        <w:spacing w:after="120"/>
      </w:pPr>
      <w:r>
        <w:t xml:space="preserve">This thesis asked whether separating emotion detection from response generation produces better empathetic replies than asking a single model to perform both tasks, under the constraint of a single consumer GPU. The experiments give a qualified answer. </w:t>
      </w:r>
      <w:r>
        <w:rPr>
          <w:b/>
        </w:rPr>
        <w:t>At comparable scale, the decoupled design produces replies that are significantly more empathetic according to both the WASSA classifier and the AI judges, and significantly more faithful to the user's actual emotion</w:t>
      </w:r>
      <w:r>
        <w:t xml:space="preserve">, while its rule adherence is statistically indistinguishable from that of a same-size single model after correction for multiple comparisons. </w:t>
      </w:r>
      <w:r>
        <w:rPr>
          <w:b/>
        </w:rPr>
        <w:t>A larger single model, however, outperforms it</w:t>
      </w:r>
      <w:r>
        <w:t xml:space="preserve"> in rule adherence and empathy, although the AI judges' overall scores for the two do not differ significantly after correction (8.90 against 8.68). The advantage of decoupling therefore does not lie in separation alone outperforming scale. It lies in what separation makes possible: an explicit and inspectable emotional decision that can be conditioned on, audited and, where necessary, intercepted. The design is also </w:t>
      </w:r>
      <w:r>
        <w:rPr>
          <w:b/>
        </w:rPr>
        <w:t>parameter- and resource-efficient</w:t>
      </w:r>
      <w:r>
        <w:t xml:space="preserve">, reaching 97.5% of the larger model's overall AI-judge score with 52% of its parameters and 38% less GPU memory, at a similar response time (Section 5.4.7), and </w:t>
      </w:r>
      <w:r>
        <w:rPr>
          <w:b/>
        </w:rPr>
        <w:t>application-oriented</w:t>
      </w:r>
      <w:r>
        <w:t>, running locally as a multi-turn agent that exposes its emotional reasoning (Section 5.6.5).</w:t>
      </w:r>
    </w:p>
    <w:p>
      <w:pPr>
        <w:pStyle w:val="Heading1"/>
      </w:pPr>
      <w:r>
        <w:t>5.6.2 Why the Two-Stage Design Works</w:t>
      </w:r>
    </w:p>
    <w:p>
      <w:pPr>
        <w:spacing w:after="120"/>
      </w:pPr>
      <w:r>
        <w:t xml:space="preserve">The most unexpected result is that the final system's emotion selection agrees with the dataset's gold label </w:t>
      </w:r>
      <w:r>
        <w:rPr>
          <w:i/>
        </w:rPr>
        <w:t>less</w:t>
      </w:r>
      <w:r>
        <w:t xml:space="preserve"> often than the detector's own top prediction (42.3% against 50.3%), yet the final system achieves the highest emotion validation and the strongest empathy scores among comparable designs. Three observations reconcile these findings. First, EmpatheticDialogues assigns each conversation a single fine-grained label chosen by the speaker before the conversation [1], while many messages plausibly express a neighbouring feeling. Most detector errors are exactly such neighbours, such as </w:t>
      </w:r>
      <w:r>
        <w:rPr>
          <w:i/>
        </w:rPr>
        <w:t>afraid</w:t>
      </w:r>
      <w:r>
        <w:t xml:space="preserve"> and </w:t>
      </w:r>
      <w:r>
        <w:rPr>
          <w:i/>
        </w:rPr>
        <w:t>terrified</w:t>
      </w:r>
      <w:r>
        <w:t xml:space="preserve"> or </w:t>
      </w:r>
      <w:r>
        <w:rPr>
          <w:i/>
        </w:rPr>
        <w:t>sentimental</w:t>
      </w:r>
      <w:r>
        <w:t xml:space="preserve"> and </w:t>
      </w:r>
      <w:r>
        <w:rPr>
          <w:i/>
        </w:rPr>
        <w:t>nostalgic</w:t>
      </w:r>
      <w:r>
        <w:t xml:space="preserve">, so a choice that disagrees with the gold label is often still a reasonable reading of the text. Second, the error-propagation analysis shows that replies based on an incorrect label are no worse in rule adherence or empathy: what a reply needs is an emotion close enough to respond to, not the exact gold label. Third, the improvement appears when emotion-specific guidance is added. Telling the generator </w:t>
      </w:r>
      <w:r>
        <w:rPr>
          <w:i/>
        </w:rPr>
        <w:t>how</w:t>
      </w:r>
      <w:r>
        <w:t xml:space="preserve"> to respond to loneliness, rather than only </w:t>
      </w:r>
      <w:r>
        <w:rPr>
          <w:i/>
        </w:rPr>
        <w:t>that</w:t>
      </w:r>
      <w:r>
        <w:t xml:space="preserve"> the user is lonely, changes the substance of the reply. Because our comparison removed the emotion selection, the guidance and the attention cues together, their contributions cannot be separated. However, the accuracy result suggests that the guidance, rather than the selection, accounts for most of the improvement. This improvement is also narrower than the design's advantage over single models: the AI judges rate the two-stage and top-1 Phi-4-mini configurations almost identically (overall 8.68 against 8.65, p = 0.71), so the benefit of the two-stage design appears in the finer measures of empathy and emotion fidelity rather than in overall judge ratings.</w:t>
      </w:r>
    </w:p>
    <w:p>
      <w:pPr>
        <w:pStyle w:val="Heading1"/>
      </w:pPr>
      <w:r>
        <w:t>5.6.3 Response to the Pre-Thesis 2 Panel</w:t>
      </w:r>
    </w:p>
    <w:p>
      <w:pPr>
        <w:spacing w:after="120"/>
      </w:pPr>
      <w:r>
        <w:t>The panel questioned whether multiple models were necessary and suggested that a simpler agentic, retrieval-based design might perform better. Both suggestions were tested directly. A single model of the same size, prompted to identify the emotion and respond in one step, produced less empathetic and less emotionally faithful replies than the decoupled design. A larger single model performed better in raw quality, which we report as a genuine trade-off (Section 5.6.4). Retrieving similar human conversations [11] reduced rule adherence in both versions we built, from 63.7% to 54.3% and 43.7%, because real listener replies seldom follow the rules themselves (only 4.3% satisfy all three). We did not build the full multi-turn agentic system the panel described, so our evidence concerns retrieval-augmented prompting rather than agentic systems in general. The second model justifies its place as a component for transparency and control: it exposes the emotional decision at a cost of 125 million parameters and under ten minutes of training. A larger detector would not change this conclusion, since substituting RoBERTa-large into the final system left reply quality unchanged.</w:t>
      </w:r>
    </w:p>
    <w:p>
      <w:pPr>
        <w:pStyle w:val="Heading1"/>
      </w:pPr>
      <w:r>
        <w:t>5.6.4 When a Larger Single Model Is the Better Choice</w:t>
      </w:r>
    </w:p>
    <w:p>
      <w:pPr>
        <w:spacing w:after="120"/>
      </w:pPr>
      <w:r>
        <w:t>If the only goal is the highest-quality reply on hardware able to run a 7-billion-parameter model, our results favour the larger single model, which led in rule adherence (82.3%), WASSA empathy (5.76) and AI-judge empathy (8.15 against 7.84). The decoupled design is preferable when the system's emotional reasoning must be visible, for example to audit why a reply adopted a particular tone, to show users or clinicians which emotion was detected, or to insert a safeguard, such as a crisis filter, before any text is generated. It is also preferable when components must be replaceable independently. The two approaches are not mutually exclusive: the detector and emotion-specific prompting could be combined with a larger generator, which we leave to future work.</w:t>
      </w:r>
    </w:p>
    <w:p>
      <w:pPr>
        <w:pStyle w:val="Heading1"/>
      </w:pPr>
      <w:r>
        <w:t>5.6.5 Application Orientation</w:t>
      </w:r>
    </w:p>
    <w:p>
      <w:pPr>
        <w:spacing w:after="120"/>
      </w:pPr>
      <w:r>
        <w:t xml:space="preserve">The system was designed to be used, not only to be evaluated on a benchmark, and four of its properties follow from that aim. </w:t>
      </w:r>
      <w:r>
        <w:rPr>
          <w:b/>
        </w:rPr>
        <w:t>Local operation.</w:t>
      </w:r>
      <w:r>
        <w:t xml:space="preserve"> Every component runs on a single consumer GPU with 8 GB of memory, so a deployed instance does not need to send a user's disclosure to an external service (Section 3.4). </w:t>
      </w:r>
      <w:r>
        <w:rPr>
          <w:b/>
        </w:rPr>
        <w:t>Multi-turn conversation.</w:t>
      </w:r>
      <w:r>
        <w:t xml:space="preserve"> The final solution is an interactive agent rather than a single-reply generator: the detector reads the user's last four turns, the generator receives the last ten exchanges, the question becomes optional after the first turn, and changes in the user's emotion are detected and followed (Section 5.2.4). </w:t>
      </w:r>
      <w:r>
        <w:rPr>
          <w:b/>
        </w:rPr>
        <w:t>Inspectability.</w:t>
      </w:r>
      <w:r>
        <w:t xml:space="preserve"> For every turn, the agent displays the three candidate emotions with their confidence, the emotion chosen, the words that drove the detection and any detected emotion shift. This audit trail, which a single end-to-end model cannot provide, allows a developer, supervisor or clinician to see why a reply adopted a particular tone and to insert a safeguard before any text is generated. </w:t>
      </w:r>
      <w:r>
        <w:rPr>
          <w:b/>
        </w:rPr>
        <w:t>Controlled and replaceable behaviour.</w:t>
      </w:r>
      <w:r>
        <w:t xml:space="preserve"> Replies stay short (all within the length limit, 57.1 words on average) and ask exactly one question in 92.7% of cases, and the detector, the emotion-specific guidance and the generator can each be replaced independently, as the RoBERTa-large substitution demonstrated. These properties make the design a practical candidate for a supportive first-line listener, for example in student well-being services, provided that the limitations below, above all the absence of a crisis safeguard, are addressed before deployment.</w:t>
      </w:r>
    </w:p>
    <w:p>
      <w:pPr>
        <w:pStyle w:val="Heading1"/>
      </w:pPr>
      <w:r>
        <w:t>5.6.6 Limitations</w:t>
      </w:r>
    </w:p>
    <w:p>
      <w:pPr>
        <w:spacing w:after="120"/>
      </w:pPr>
      <w:r>
        <w:t xml:space="preserve">This work has seven main limitations. (1) </w:t>
      </w:r>
      <w:r>
        <w:rPr>
          <w:b/>
        </w:rPr>
        <w:t>Data.</w:t>
      </w:r>
      <w:r>
        <w:t xml:space="preserve"> EmpatheticDialogues is an English, crowd-sourced corpus with a single label per conversation [1], so neither detection accuracy nor the appropriateness of replies can be assumed to transfer to Bangla speakers or to people in genuine distress. (2) </w:t>
      </w:r>
      <w:r>
        <w:rPr>
          <w:b/>
        </w:rPr>
        <w:t>Safety.</w:t>
      </w:r>
      <w:r>
        <w:t xml:space="preserve"> The label set contains no category for suicidal ideation, and the system has no crisis safeguard beyond interface disclaimers (Section 3.4). (3) </w:t>
      </w:r>
      <w:r>
        <w:rPr>
          <w:b/>
        </w:rPr>
        <w:t>Evaluation.</w:t>
      </w:r>
      <w:r>
        <w:t xml:space="preserve"> The automatic measures are proxies. The acknowledgement check is keyword-based and biased toward negative emotions, and the one-question rule, although supported by counselling practice, is not rewarded by either automatic empathy measure (Section 5.4.8). The WASSA classifier was trained on peer discussions of news articles, produces coarse classes and rewards length [14]. Emotion validation relies on our own detector. AI judges may favour longer answers [13], and the planned three-judge panel was reduced to two judges when one became unavailable, although the two panels agree closely on the systems both scored. (4) </w:t>
      </w:r>
      <w:r>
        <w:rPr>
          <w:b/>
        </w:rPr>
        <w:t>Scale of evidence.</w:t>
      </w:r>
      <w:r>
        <w:t xml:space="preserve"> Generation results are based on 300 conversations and AI-judge results on 64, and the human study uses a small set of items rated by non-expert participants </w:t>
      </w:r>
      <w:r>
        <w:rPr>
          <w:b/>
          <w:color w:val="B03A00"/>
        </w:rPr>
        <w:t>[[PENDING: final number of participants]]</w:t>
      </w:r>
      <w:r>
        <w:t xml:space="preserve">. (5) </w:t>
      </w:r>
      <w:r>
        <w:rPr>
          <w:b/>
        </w:rPr>
        <w:t>Single-turn evaluation.</w:t>
      </w:r>
      <w:r>
        <w:t xml:space="preserve"> The quantitative results concern single turns; the multi-turn agent was assessed only on scenario tests. (6) </w:t>
      </w:r>
      <w:r>
        <w:rPr>
          <w:b/>
        </w:rPr>
        <w:t>Repetition.</w:t>
      </w:r>
      <w:r>
        <w:t xml:space="preserve"> The final system reuses stock phrases in 58.7% of its replies, consistent with the repetitiveness reported for LLM empathy [29]. (7) </w:t>
      </w:r>
      <w:r>
        <w:rPr>
          <w:b/>
        </w:rPr>
        <w:t>Efficiency measurement.</w:t>
      </w:r>
      <w:r>
        <w:t xml:space="preserve"> Memory use and response time were measured on a single GPU over 50 messages, so they are indicative rather than general.</w:t>
      </w:r>
    </w:p>
    <w:p>
      <w:pPr>
        <w:pStyle w:val="Heading1"/>
      </w:pPr>
      <w:r>
        <w:t>5.6.7 Future Work</w:t>
      </w:r>
    </w:p>
    <w:p>
      <w:pPr>
        <w:spacing w:after="120"/>
      </w:pPr>
      <w:r>
        <w:t>In order of priority, future work should: (i) add a pre-generation crisis filter with reviewed safe responses, which is required before any public deployment [36]; (ii) conduct a component-wise ablation that separates the effects of emotion selection, emotion-specific guidance and attention cues; (iii) combine the detector and emotion-specific prompting with a larger generator; (iv) introduce decoding-level control of repetition, such as a repetition penalty of 1.1; (v) evaluate the system on real multi-turn conversations and with mental-health professionals; (vi) develop a Bangla or code-mixed dataset for the detector; and (vii) measure memory use and response time on other hardware, including CPU-only and mobile devices, to inform deployment decisions.</w:t>
      </w:r>
    </w:p>
    <w:p>
      <w:pPr>
        <w:pStyle w:val="Heading1"/>
      </w:pPr>
      <w:r>
        <w:t>5.6.8 Concluding Remarks</w:t>
      </w:r>
    </w:p>
    <w:p>
      <w:pPr>
        <w:spacing w:after="120"/>
      </w:pPr>
      <w:r>
        <w:rPr>
          <w:b/>
          <w:color w:val="B03A00"/>
        </w:rPr>
        <w:t>[[PENDING: one paragraph restating the contribution, to be written once the human-evaluation results are available. If human raters prefer the final system to the same-size single model, state this with the selection rate; if they prefer the larger model, retain the framing of inspectability and control and report the result plainly.]]</w:t>
      </w:r>
    </w:p>
    <w:p>
      <w:pPr>
        <w:pStyle w:val="Heading1"/>
      </w:pPr>
      <w:r>
        <w:t>References</w:t>
      </w:r>
    </w:p>
    <w:p>
      <w:pPr>
        <w:ind w:left="576" w:hanging="576"/>
      </w:pPr>
      <w:r>
        <w:rPr>
          <w:sz w:val="20"/>
        </w:rPr>
        <w:t>[1] H. Rashkin, E. M. Smith, M. Li, and Y.-L. Boureau, "Towards empathetic open-domain conversation models: A new benchmark and dataset," in Proc. 57th Annu. Meeting Assoc. Comput. Linguistics (ACL), Florence, Italy, 2019, pp. 5370-5381, doi: 10.18653/v1/P19-1534.</w:t>
      </w:r>
    </w:p>
    <w:p>
      <w:pPr>
        <w:ind w:left="576" w:hanging="576"/>
      </w:pPr>
      <w:r>
        <w:rPr>
          <w:sz w:val="20"/>
        </w:rPr>
        <w:t>[11] P. Lewis, E. Perez, A. Piktus, F. Petroni, V. Karpukhin, N. Goyal, H. Kuttler, M. Lewis, W. Yih, T. Rocktaschel, S. Riedel, and D. Kiela, "Retrieval-augmented generation for knowledge-intensive NLP tasks," in Advances in Neural Information Processing Systems (NeurIPS), vol. 33, 2020, pp. 9459-9474.</w:t>
      </w:r>
    </w:p>
    <w:p>
      <w:pPr>
        <w:ind w:left="576" w:hanging="576"/>
      </w:pPr>
      <w:r>
        <w:rPr>
          <w:sz w:val="20"/>
        </w:rPr>
        <w:t>[13] L. Zheng, W.-L. Chiang, Y. Sheng et al., "Judging LLM-as-a-judge with MT-Bench and Chatbot Arena," in Advances in Neural Information Processing Systems (NeurIPS), Datasets and Benchmarks Track, vol. 36, 2023; arXiv:2306.05685.</w:t>
      </w:r>
    </w:p>
    <w:p>
      <w:pPr>
        <w:ind w:left="576" w:hanging="576"/>
      </w:pPr>
      <w:r>
        <w:rPr>
          <w:sz w:val="20"/>
        </w:rPr>
        <w:t>[14] S. Giorgi, J. Sedoc, V. Barriere, and S. Tafreshi, "Findings of WASSA 2024 shared task on empathy and personality detection in interactions," in Proc. 14th Workshop Computational Approaches to Subjectivity, Sentiment, &amp; Social Media Analysis (WASSA), 2024, pp. 369-379, doi: 10.18653/v1/2024.wassa-1.30.</w:t>
      </w:r>
    </w:p>
    <w:p>
      <w:pPr>
        <w:ind w:left="576" w:hanging="576"/>
      </w:pPr>
      <w:r>
        <w:rPr>
          <w:sz w:val="20"/>
        </w:rPr>
        <w:t>[29] V. Sorin, D. Brin, Y. Barash, E. Konen, A. Charney, G. Nadkarni, and E. Klang, "Large language models and empathy: Systematic review," J. Med. Internet Res., vol. 26, p. e52597, 2024, doi: 10.2196/52597.</w:t>
      </w:r>
    </w:p>
    <w:p>
      <w:pPr>
        <w:ind w:left="576" w:hanging="576"/>
      </w:pPr>
      <w:r>
        <w:rPr>
          <w:sz w:val="20"/>
        </w:rPr>
        <w:t>[36] World Health Organization and International Association for Suicide Prevention, Preventing Suicide: A Resource for Media Professionals, Update 2023. Geneva, Switzerland: WHO, 2023. [Online]. Available: https://www.who.int/publications/i/item/9789240076846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