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5.3.4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4.5 shows the path from those files to the four datasets this work actually uses.</w:t>
      </w:r>
    </w:p>
    <w:p>
      <w:r>
        <w:drawing>
          <wp:inline xmlns:a="http://schemas.openxmlformats.org/drawingml/2006/main" xmlns:pic="http://schemas.openxmlformats.org/drawingml/2006/picture">
            <wp:extent cx="5486400" cy="3632597"/>
            <wp:docPr id="5" name="Picture 5"/>
            <wp:cNvGraphicFramePr>
              <a:graphicFrameLocks noChangeAspect="1"/>
            </wp:cNvGraphicFramePr>
            <a:graphic>
              <a:graphicData uri="http://schemas.openxmlformats.org/drawingml/2006/picture">
                <pic:pic>
                  <pic:nvPicPr>
                    <pic:cNvPr id="0" name="fig_data_pipeline.png"/>
                    <pic:cNvPicPr/>
                  </pic:nvPicPr>
                  <pic:blipFill>
                    <a:blip r:embed="rId13"/>
                    <a:stretch>
                      <a:fillRect/>
                    </a:stretch>
                  </pic:blipFill>
                  <pic:spPr>
                    <a:xfrm>
                      <a:off x="0" y="0"/>
                      <a:ext cx="5486400" cy="3632597"/>
                    </a:xfrm>
                    <a:prstGeom prst="rect"/>
                  </pic:spPr>
                </pic:pic>
              </a:graphicData>
            </a:graphic>
          </wp:inline>
        </w:drawing>
      </w:r>
    </w:p>
    <w:p>
      <w:r>
        <w:rPr>
          <w:i/>
          <w:sz w:val="20"/>
        </w:rPr>
        <w:t>Figure 4.5: From the released corpus to the datasets used in this work</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