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A.1: Criteria for selecting the AI judges (selection criteria behind Section 4.1.5.1).</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A.2: Precision, recall and F1 of the final detector for each emotion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A.3: Design of the human-evaluation items (item-by-item design of the human study described in Section 5.1.9).</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A.4: WASSA empathy score within each reply-length band (length-band detail behind Section 5.2.3).</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A.5: Paired significance tests between detector models (significance tests behind the detector comparison in Section 4.2.2).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A.6: Correlation between reply length and WASSA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A.7: Evidence on the validity of the WASSA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A.8: Effect of a more accurate detector with the generator held fixed (detector-swap detail behind Section 5.5.3).</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A.9: Detector size, detection accuracy and final-system reply quality for RoBERTa-base and RoBERTa-large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A.10: Paired comparison of response time and memory between the final system and each single model (paired tests behind the resource figures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