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A.1: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A.2: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A.3: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A.4: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5.4)</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4.7)</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5.24)</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A.5: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A.6: Precision, recall and F1 of the final detector for each emotion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A.7: Design of the human-evaluation items (item-by-item design of the human study described in Section 5.1.9).</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A.8: WASSA empathy score within each reply-length band (length-band detail behind Section 5.2.3).</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A.9: Paired significance tests between detector models (significance tests behind the detector comparison in Section 4.2.2).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A.10: Correlation between reply length and WASSA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A.11: Evidence on the validity of the WASSA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A.12: Effect of a more accurate detector with the generator held fixed (detector-swap detail behind Section 5.5.3).</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A.13: Detector size, detection accuracy and final-system reply quality for RoBERTa-base and RoBERTa-large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A.14: Paired comparison of response time and memory between the final system and each single model (paired tests behind the resource figures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