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5.4.6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Sub-word pieces are merged back into whole words by summing their scores, the special tokens are discarded, and the highest-scoring 40% of words are kept, with a floor of three and a ceiling of fourteen so that neither very short nor very long messages produce a useless cue list. The result is a handful of words such as "moved away" or "my dog",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4.7. In conversation it reads the user's last four turns joined together: context is known to matter for recognising emotion in dialogue, and among the windows tested on long scenarios four turns was best or joint best in three of four, whereas six turns let emotions from earlier turns compete with the current one.</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4.8.</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rPr>
          <w:b/>
        </w:rPr>
        <w:t>Conversation memory:</w:t>
      </w:r>
      <w:r>
        <w:t xml:space="preserve"> The generator receives the last ten exchanges verbatim rather than a summary, so that emotional detail is not lost in compression. From the second turn onward the question becomes optional and the model is asked not to reuse its earlier phrasing, so that a long conversation does not turn into an interrogation; the first turn keeps the original rules, which is what makes single-turn results comparable across systems.</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4.5 shows the path from those files to the four datasets this work actually uses.</w:t>
      </w:r>
    </w:p>
    <w:p>
      <w:r>
        <w:drawing>
          <wp:inline xmlns:a="http://schemas.openxmlformats.org/drawingml/2006/main" xmlns:pic="http://schemas.openxmlformats.org/drawingml/2006/picture">
            <wp:extent cx="5486400" cy="3632597"/>
            <wp:docPr id="5" name="Picture 5"/>
            <wp:cNvGraphicFramePr>
              <a:graphicFrameLocks noChangeAspect="1"/>
            </wp:cNvGraphicFramePr>
            <a:graphic>
              <a:graphicData uri="http://schemas.openxmlformats.org/drawingml/2006/picture">
                <pic:pic>
                  <pic:nvPicPr>
                    <pic:cNvPr id="0" name="fig_data_pipeline.png"/>
                    <pic:cNvPicPr/>
                  </pic:nvPicPr>
                  <pic:blipFill>
                    <a:blip r:embed="rId13"/>
                    <a:stretch>
                      <a:fillRect/>
                    </a:stretch>
                  </pic:blipFill>
                  <pic:spPr>
                    <a:xfrm>
                      <a:off x="0" y="0"/>
                      <a:ext cx="5486400" cy="3632597"/>
                    </a:xfrm>
                    <a:prstGeom prst="rect"/>
                  </pic:spPr>
                </pic:pic>
              </a:graphicData>
            </a:graphic>
          </wp:inline>
        </w:drawing>
      </w:r>
    </w:p>
    <w:p>
      <w:r>
        <w:rPr>
          <w:i/>
          <w:sz w:val="20"/>
        </w:rPr>
        <w:t>Figure 4.5: From the released corpus to the datasets used in this work</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4.6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4.6: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4.7.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4.7: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4.8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4.8: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5.3.5).</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A.5.</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