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[41] and the counselling guidance against asking several questions at once [42], whose validity is examined in Section 5.4.8;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[7], or with the Qwen baselines (Alibaba) [8]. Second, a panel of judges from different model families shows less bias than a single large judge [35],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4.2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nearly reproduces the AI judges' ranking of systems (Spearman rho = 0.94 across the judged systems)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[43] and Hugging Face Transformers 5.16.1 [40], using bitsandbytes for 4-bit quantisation, SciPy [44] for statistical testing and scikit-learn [45]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[43]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[44] P. Virtanen, R. Gommers, T. E. Oliphant et al., "SciPy 1.0: Fundamental algorithms for scientific computing in Python," Nature Methods, vol. 17, pp. 261-272, 2020, doi: 10.1038/s41592-019-0686-2.</w:t>
      </w:r>
    </w:p>
    <w:p>
      <w:pPr>
        <w:ind w:left="576" w:hanging="576"/>
      </w:pPr>
      <w:r>
        <w:rPr>
          <w:sz w:val="20"/>
        </w:rPr>
        <w:t>[45]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