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[48].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5.4.8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5.28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[41].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[41] and are the most frequent listener behaviour in EmpatheticDialogues [49], so a reply with no question closes the conversation; but asking several questions is the "question-answer trap" that counselling guidance warns reduces engagement [42],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5.4.4).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5.28: Origin of each response rule and its measured effect within systems</w:t>
      </w:r>
    </w:p>
    <w:p>
      <w:pPr>
        <w:spacing w:after="120"/>
      </w:pPr>
      <w:r>
        <w:t>Table 5.29 sets the two systems side by side on every measure we collect, and adds a length control, because the single model writes 29% longer replies (73.5 against 57.1 words) and both the AI judges and the acknowledgement check reward length (Sections 5.4.4 and 5.4.8).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[29].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5.29: The decoupled system against the same generator used alone, measure by measure, with reply length held constant</w:t>
      </w:r>
    </w:p>
    <w:p>
      <w:pPr>
        <w:pStyle w:val="Heading1"/>
      </w:pPr>
      <w:r>
        <w:t>5.4.9 Separating the Effect of the Detector from the Effect of the Generator</w:t>
      </w:r>
    </w:p>
    <w:p>
      <w:pPr>
        <w:spacing w:after="120"/>
      </w:pPr>
      <w:r>
        <w:t xml:space="preserve">The comparisons in Section 5.3.2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the Pre-Thesis 2 panel raised about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5.4.8),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[48] Y. Liu, W. Maier, W. Minker, and S. Ultes, "Empathetic dialogue generation with pre-trained RoBERTa-GPT2 and external knowledge," in Proc. Int. Workshop Spoken Dialogue System Technology (IWSDS), 2021; arXiv:2109.03004.</w:t>
      </w:r>
    </w:p>
    <w:p>
      <w:pPr>
        <w:ind w:left="576" w:hanging="576"/>
      </w:pPr>
      <w:r>
        <w:rPr>
          <w:sz w:val="20"/>
        </w:rPr>
        <w:t>[49]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