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2.2 Review of Existing Research</w:t>
      </w:r>
    </w:p>
    <w:p>
      <w:pPr>
        <w:spacing w:after="120"/>
      </w:pPr>
      <w:r>
        <w:t>This section reviews prior work on empathetic dialogue in four groups: the benchmark and early models, knowledge-enhanced models, systems based on large language models (LLMs), and work on emotion recognition and evaluation.</w:t>
      </w:r>
    </w:p>
    <w:p>
      <w:pPr>
        <w:pStyle w:val="Heading1"/>
      </w:pPr>
      <w:r>
        <w:t>2.2.1 Empathetic Dialogue Benchmarks and Early Models</w:t>
      </w:r>
    </w:p>
    <w:p>
      <w:pPr>
        <w:spacing w:after="120"/>
      </w:pPr>
      <w:r>
        <w:t>Rashkin et al. [1] introduce EmpatheticDialogues, a benchmark of 24,850 crowd-sourced conversations grounded in 32 emotion labels, and show that retrieval and generation models trained on it are perceived as more empathetic by human evaluators. The authors also train emotion classifiers on the situation descriptions written by speakers, reporting 43% accuracy for fastText and 48% for a fine-tuned DeepMoji model. Although the dataset established the task, these classifiers read an explicit, after-the-fact description of the situation rather than what the speaker actually says in conversation, which is the harder input a deployed system receives.</w:t>
      </w:r>
    </w:p>
    <w:p>
      <w:pPr>
        <w:spacing w:after="120"/>
      </w:pPr>
      <w:r>
        <w:t>Lin et al. [20] propose a mixture of empathetic listeners (</w:t>
      </w:r>
      <w:r>
        <w:rPr>
          <w:b/>
        </w:rPr>
        <w:t>MoEL</w:t>
      </w:r>
      <w:r>
        <w:t>), in which the model first detects the user's emotion and then combines the outputs of listener components specialised for different emotions. Majumder et al. [21] observe that empathetic responses often mimic the user's emotion to a degree that depends on its polarity, and model this through polarity-based emotion groups and stochastic emotion mixing (</w:t>
      </w:r>
      <w:r>
        <w:rPr>
          <w:b/>
        </w:rPr>
        <w:t>MIME</w:t>
      </w:r>
      <w:r>
        <w:t>). Li et al. [22] model emotion at both the dialogue and token levels and use adversarial learning with user feedback (</w:t>
      </w:r>
      <w:r>
        <w:rPr>
          <w:b/>
        </w:rPr>
        <w:t>EmpDG</w:t>
      </w:r>
      <w:r>
        <w:t>). When these models are re-evaluated under a common setting, they recognise the speaker's emotion with only 30.6-31.2% accuracy and produce replies of low lexical diversity [23]. Their main drawback is that emotion recognition is learned as an auxiliary task of small generators trained from scratch, which limits both recognition accuracy and fluency.</w:t>
      </w:r>
    </w:p>
    <w:p>
      <w:pPr>
        <w:pStyle w:val="Heading1"/>
      </w:pPr>
      <w:r>
        <w:t>2.2.2 Knowledge-Enhanced Empathetic Generation</w:t>
      </w:r>
    </w:p>
    <w:p>
      <w:pPr>
        <w:spacing w:after="120"/>
      </w:pPr>
      <w:r>
        <w:t xml:space="preserve">Later work adds external knowledge to capture why the user feels as they do. </w:t>
      </w:r>
      <w:r>
        <w:rPr>
          <w:b/>
        </w:rPr>
        <w:t>KEMP</w:t>
      </w:r>
      <w:r>
        <w:t xml:space="preserve"> [24] enriches the dialogue history with commonsense and emotional lexical knowledge organised into an emotional context graph. </w:t>
      </w:r>
      <w:r>
        <w:rPr>
          <w:b/>
        </w:rPr>
        <w:t>CEM</w:t>
      </w:r>
      <w:r>
        <w:t xml:space="preserve"> [2] uses commonsense inferences about the user's situation to model both the affective and cognitive aspects of empathy. </w:t>
      </w:r>
      <w:r>
        <w:rPr>
          <w:b/>
        </w:rPr>
        <w:t>CASE</w:t>
      </w:r>
      <w:r>
        <w:t xml:space="preserve"> [25] aligns cognition and affection at both coarse and fine levels of granularity, and </w:t>
      </w:r>
      <w:r>
        <w:rPr>
          <w:b/>
        </w:rPr>
        <w:t>ESCM</w:t>
      </w:r>
      <w:r>
        <w:t xml:space="preserve"> [26] models dynamic correlations between emotion and semantics. These methods raise emotion recognition accuracy to 36.6-41.2% [23], [26]. However, in human evaluation CEM and CASE receive empathy ratings of only 3.08 and 3.04 out of 5 [23], showing that knowledge integration adds complexity to small generators without closing the gap to modern language models.</w:t>
      </w:r>
    </w:p>
    <w:p>
      <w:pPr>
        <w:spacing w:after="120"/>
      </w:pPr>
      <w:r>
        <w:t xml:space="preserve">Cao et al. [27] carry this idea into the LLM era with the </w:t>
      </w:r>
      <w:r>
        <w:rPr>
          <w:b/>
        </w:rPr>
        <w:t>EKTC</w:t>
      </w:r>
      <w:r>
        <w:t xml:space="preserve"> framework, in which a fine-tuned LLM decides when to call a commonsense knowledge base as a tool, and construct the </w:t>
      </w:r>
      <w:r>
        <w:rPr>
          <w:b/>
        </w:rPr>
        <w:t>TOOL-ED</w:t>
      </w:r>
      <w:r>
        <w:t xml:space="preserve"> dataset by inserting tool-use trajectories into EmpatheticDialogues. Fine-tuning Qwen1.5-14B and Vicuna-7B on this data yields a BERTScore of 0.8765, and in A/B human evaluation by three researchers the tool-calling models win 61.3% (Qwen) and 72.3% (Vicuna) of empathy comparisons against the same models fine-tuned on plain EmpatheticDialogues. The approach requires fine-tuning models of 7-14 billion parameters, well beyond a consumer GPU, and does not measure whether replies obey explicit interaction constraints.</w:t>
      </w:r>
    </w:p>
    <w:p>
      <w:pPr>
        <w:spacing w:after="120"/>
      </w:pPr>
      <w:r>
        <w:t>Wu et al. [28] argue that empathetic expression should adapt to the speaker's personality and incorporate visual and MBTI personality information into a GPT-2-based generator. On text-only EmpatheticDialogues their model reaches 45.4% emotion recognition accuracy, and it is evaluated by seven graduate annotators using both five-point ratings and pairwise comparisons. For general text-based support, however, the approach depends on multimodal input and personality labels that a user's message does not provide.</w:t>
      </w:r>
    </w:p>
    <w:p>
      <w:pPr>
        <w:pStyle w:val="Heading1"/>
      </w:pPr>
      <w:r>
        <w:t>2.2.3 Large Language Models for Empathetic and Supportive Dialogue</w:t>
      </w:r>
    </w:p>
    <w:p>
      <w:pPr>
        <w:spacing w:after="120"/>
      </w:pPr>
      <w:r>
        <w:t>Qian et al. [23] compare GPT-3.5 and ChatGPT with the trained state of the art on EmpatheticDialogues. Human evaluators rate ChatGPT at 4.64 out of 5 for empathy, against 3.08 for CEM and 3.04 for CASE, and its replies are several times more lexically diverse. A systematic review of twelve studies on LLM empathy [29] confirms that LLMs display elements of cognitive empathy, but also reports recurring weaknesses: repetitive use of empathic phrases, a tendency to forget initial instructions, and lengthy responses that "could potentially be erroneously associated with greater empathy". These behaviours motivate the explicit rule-adherence, repetition and length analyses used in this thesis.</w:t>
      </w:r>
    </w:p>
    <w:p>
      <w:pPr>
        <w:spacing w:after="120"/>
      </w:pPr>
      <w:r>
        <w:t>Wang et al. [30] combine prompt engineering with LoRA and full-parameter fine-tuning of Qwen2.5 models for the NLPCC 2025 emotional-support task. Every fine-tuned configuration outperforms the prompted base model on validation, with the best configuration reaching a total score of 41.17 against 30.87 without fine-tuning, and their submission ranked second. These gains, however, required fine-tuning a 72-billion-parameter model. Rasool et al. [31] fuse emotion-lexicon and multi-level embeddings into Flan-T5, Llama 2, DeepSeek-R1 and GPT-4 for psychotherapy transcripts, using a BERT-based model for emotion detection and a generative LLM for the response. Their paired t-tests show that the improvements in empathy (p = 0.53) and coherence (p = 0.12) are not statistically significant, and they call for human evaluation in future work. Both studies support separating emotion understanding from generation, but neither enforces or measures controllable response behaviour, and the second illustrates how reported gains can fail a significance test.</w:t>
      </w:r>
    </w:p>
    <w:p>
      <w:pPr>
        <w:pStyle w:val="Heading1"/>
      </w:pPr>
      <w:r>
        <w:t>2.2.4 Emotion Recognition and Evaluation Methodology</w:t>
      </w:r>
    </w:p>
    <w:p>
      <w:pPr>
        <w:spacing w:after="120"/>
      </w:pPr>
      <w:r>
        <w:t xml:space="preserve">Paranjape et al. [32] describe Chirpy Cardinal, a socialbot developed for the Alexa Prize, which includes an emotion classifier obtained by fine-tuning RoBERTa on the first utterance of each EmpatheticDialogues conversation. The classifier reaches 61.5% top-1 and 92% top-5 accuracy, with most errors occurring between similar labels such as </w:t>
      </w:r>
      <w:r>
        <w:rPr>
          <w:i/>
        </w:rPr>
        <w:t>angry</w:t>
      </w:r>
      <w:r>
        <w:t xml:space="preserve"> and </w:t>
      </w:r>
      <w:r>
        <w:rPr>
          <w:i/>
        </w:rPr>
        <w:t>furious</w:t>
      </w:r>
      <w:r>
        <w:t>. This is the published result most directly comparable to the emotion detector developed in this thesis. Belay et al. [33] evaluate encoder-only, encoder-decoder and decoder-only language models on multi-label emotion classification in four Ethiopian languages and English, and conclude that fine-tuned encoder models still outperform few-shot LLMs at emotion classification. This supports the use of a dedicated encoder, rather than a generative model, for emotion detection.</w:t>
      </w:r>
    </w:p>
    <w:p>
      <w:pPr>
        <w:spacing w:after="120"/>
      </w:pPr>
      <w:r>
        <w:t>For evaluation, Zheng et al. [13] establish the use of strong LLMs as judges and document their position, verbosity and self-enhancement biases. Panickssery et al. [34] show that LLM evaluators can recognise their own generations and score them more favourably, and Verga et al. [35] find that a panel of judges drawn from different model families is less biased than a single large judge. For automatic empathy scoring, the WASSA 2024 shared task provides systems trained on human empathy ratings of conversation turns [14]. Across the EmpatheticDialogues literature, human evaluation uses either five-point ratings [23], [28] or A/B preference judgements [27], [28], and Wu et al. note that pairwise comparison accounts for individual variation among annotators [28]. Table 2.1 summarises the reviewed work.</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E3EEFB"/>
          </w:tcPr>
          <w:p>
            <w:r>
              <w:rPr>
                <w:b/>
              </w:rPr>
            </w:r>
            <w:r>
              <w:rPr>
                <w:b/>
                <w:sz w:val="16"/>
              </w:rPr>
              <w:t>Work</w:t>
            </w:r>
          </w:p>
        </w:tc>
        <w:tc>
          <w:tcPr>
            <w:tcW w:type="dxa" w:w="2340"/>
            <w:shd w:val="clear" w:color="auto" w:fill="E3EEFB"/>
          </w:tcPr>
          <w:p>
            <w:r>
              <w:rPr>
                <w:b/>
              </w:rPr>
            </w:r>
            <w:r>
              <w:rPr>
                <w:b/>
                <w:sz w:val="16"/>
              </w:rPr>
              <w:t>Data</w:t>
            </w:r>
          </w:p>
        </w:tc>
        <w:tc>
          <w:tcPr>
            <w:tcW w:type="dxa" w:w="2340"/>
            <w:shd w:val="clear" w:color="auto" w:fill="E3EEFB"/>
          </w:tcPr>
          <w:p>
            <w:r>
              <w:rPr>
                <w:b/>
              </w:rPr>
            </w:r>
            <w:r>
              <w:rPr>
                <w:b/>
                <w:sz w:val="16"/>
              </w:rPr>
              <w:t>Approach and result</w:t>
            </w:r>
          </w:p>
        </w:tc>
        <w:tc>
          <w:tcPr>
            <w:tcW w:type="dxa" w:w="2340"/>
            <w:shd w:val="clear" w:color="auto" w:fill="E3EEFB"/>
          </w:tcPr>
          <w:p>
            <w:r>
              <w:rPr>
                <w:b/>
              </w:rPr>
            </w:r>
            <w:r>
              <w:rPr>
                <w:b/>
                <w:sz w:val="16"/>
              </w:rPr>
              <w:t>Limitation relevant to this thesis</w:t>
            </w:r>
          </w:p>
        </w:tc>
      </w:tr>
      <w:tr>
        <w:tc>
          <w:tcPr>
            <w:tcW w:type="dxa" w:w="2340"/>
          </w:tcPr>
          <w:p>
            <w:r/>
            <w:r>
              <w:rPr>
                <w:sz w:val="16"/>
              </w:rPr>
              <w:t>Rashkin et al., 2019 (ACL)</w:t>
            </w:r>
          </w:p>
        </w:tc>
        <w:tc>
          <w:tcPr>
            <w:tcW w:type="dxa" w:w="2340"/>
          </w:tcPr>
          <w:p>
            <w:r/>
            <w:r>
              <w:rPr>
                <w:sz w:val="16"/>
              </w:rPr>
              <w:t>EmpatheticDialogues</w:t>
            </w:r>
          </w:p>
        </w:tc>
        <w:tc>
          <w:tcPr>
            <w:tcW w:type="dxa" w:w="2340"/>
          </w:tcPr>
          <w:p>
            <w:r/>
            <w:r>
              <w:rPr>
                <w:sz w:val="16"/>
              </w:rPr>
              <w:t>Introduces 25k-conversation, 32-emotion benchmark; emotion classifiers on situation text</w:t>
            </w:r>
          </w:p>
        </w:tc>
        <w:tc>
          <w:tcPr>
            <w:tcW w:type="dxa" w:w="2340"/>
          </w:tcPr>
          <w:p>
            <w:r/>
            <w:r>
              <w:rPr>
                <w:sz w:val="16"/>
              </w:rPr>
              <w:t>Benchmark only; situation-text classifiers overstate real-input accuracy</w:t>
            </w:r>
          </w:p>
        </w:tc>
      </w:tr>
      <w:tr>
        <w:tc>
          <w:tcPr>
            <w:tcW w:type="dxa" w:w="2340"/>
          </w:tcPr>
          <w:p>
            <w:r/>
            <w:r>
              <w:rPr>
                <w:sz w:val="16"/>
              </w:rPr>
              <w:t>Lin et al., 2019 - MoEL (EMNLP)</w:t>
            </w:r>
          </w:p>
        </w:tc>
        <w:tc>
          <w:tcPr>
            <w:tcW w:type="dxa" w:w="2340"/>
          </w:tcPr>
          <w:p>
            <w:r/>
            <w:r>
              <w:rPr>
                <w:sz w:val="16"/>
              </w:rPr>
              <w:t>ED</w:t>
            </w:r>
          </w:p>
        </w:tc>
        <w:tc>
          <w:tcPr>
            <w:tcW w:type="dxa" w:w="2340"/>
          </w:tcPr>
          <w:p>
            <w:r/>
            <w:r>
              <w:rPr>
                <w:sz w:val="16"/>
              </w:rPr>
              <w:t>Mixture of emotion-specific listeners; emotion acc 30.75%</w:t>
            </w:r>
          </w:p>
        </w:tc>
        <w:tc>
          <w:tcPr>
            <w:tcW w:type="dxa" w:w="2340"/>
          </w:tcPr>
          <w:p>
            <w:r/>
            <w:r>
              <w:rPr>
                <w:sz w:val="16"/>
              </w:rPr>
              <w:t>Low recognition accuracy; small model generation</w:t>
            </w:r>
          </w:p>
        </w:tc>
      </w:tr>
      <w:tr>
        <w:tc>
          <w:tcPr>
            <w:tcW w:type="dxa" w:w="2340"/>
          </w:tcPr>
          <w:p>
            <w:r/>
            <w:r>
              <w:rPr>
                <w:sz w:val="16"/>
              </w:rPr>
              <w:t>Majumder et al., 2020 - MIME (EMNLP)</w:t>
            </w:r>
          </w:p>
        </w:tc>
        <w:tc>
          <w:tcPr>
            <w:tcW w:type="dxa" w:w="2340"/>
          </w:tcPr>
          <w:p>
            <w:r/>
            <w:r>
              <w:rPr>
                <w:sz w:val="16"/>
              </w:rPr>
              <w:t>ED</w:t>
            </w:r>
          </w:p>
        </w:tc>
        <w:tc>
          <w:tcPr>
            <w:tcW w:type="dxa" w:w="2340"/>
          </w:tcPr>
          <w:p>
            <w:r/>
            <w:r>
              <w:rPr>
                <w:sz w:val="16"/>
              </w:rPr>
              <w:t>Emotion mimicry grouped by polarity</w:t>
            </w:r>
          </w:p>
        </w:tc>
        <w:tc>
          <w:tcPr>
            <w:tcW w:type="dxa" w:w="2340"/>
          </w:tcPr>
          <w:p>
            <w:r/>
            <w:r>
              <w:rPr>
                <w:sz w:val="16"/>
              </w:rPr>
              <w:t>Coarse polarity groups; generic replies</w:t>
            </w:r>
          </w:p>
        </w:tc>
      </w:tr>
      <w:tr>
        <w:tc>
          <w:tcPr>
            <w:tcW w:type="dxa" w:w="2340"/>
          </w:tcPr>
          <w:p>
            <w:r/>
            <w:r>
              <w:rPr>
                <w:sz w:val="16"/>
              </w:rPr>
              <w:t>Sabour et al., 2022 - CEM (AAAI)</w:t>
            </w:r>
          </w:p>
        </w:tc>
        <w:tc>
          <w:tcPr>
            <w:tcW w:type="dxa" w:w="2340"/>
          </w:tcPr>
          <w:p>
            <w:r/>
            <w:r>
              <w:rPr>
                <w:sz w:val="16"/>
              </w:rPr>
              <w:t>ED</w:t>
            </w:r>
          </w:p>
        </w:tc>
        <w:tc>
          <w:tcPr>
            <w:tcW w:type="dxa" w:w="2340"/>
          </w:tcPr>
          <w:p>
            <w:r/>
            <w:r>
              <w:rPr>
                <w:sz w:val="16"/>
              </w:rPr>
              <w:t>Adds COMET commonsense (cognitive + affective)</w:t>
            </w:r>
          </w:p>
        </w:tc>
        <w:tc>
          <w:tcPr>
            <w:tcW w:type="dxa" w:w="2340"/>
          </w:tcPr>
          <w:p>
            <w:r/>
            <w:r>
              <w:rPr>
                <w:sz w:val="16"/>
              </w:rPr>
              <w:t>Human empathy 3.08/5, far below LLMs</w:t>
            </w:r>
          </w:p>
        </w:tc>
      </w:tr>
      <w:tr>
        <w:tc>
          <w:tcPr>
            <w:tcW w:type="dxa" w:w="2340"/>
          </w:tcPr>
          <w:p>
            <w:r/>
            <w:r>
              <w:rPr>
                <w:sz w:val="16"/>
              </w:rPr>
              <w:t>Zhou et al., 2023 - CASE (ACL)</w:t>
            </w:r>
          </w:p>
        </w:tc>
        <w:tc>
          <w:tcPr>
            <w:tcW w:type="dxa" w:w="2340"/>
          </w:tcPr>
          <w:p>
            <w:r/>
            <w:r>
              <w:rPr>
                <w:sz w:val="16"/>
              </w:rPr>
              <w:t>ED</w:t>
            </w:r>
          </w:p>
        </w:tc>
        <w:tc>
          <w:tcPr>
            <w:tcW w:type="dxa" w:w="2340"/>
          </w:tcPr>
          <w:p>
            <w:r/>
            <w:r>
              <w:rPr>
                <w:sz w:val="16"/>
              </w:rPr>
              <w:t>Aligns cognition and affection at coarse and fine grain</w:t>
            </w:r>
          </w:p>
        </w:tc>
        <w:tc>
          <w:tcPr>
            <w:tcW w:type="dxa" w:w="2340"/>
          </w:tcPr>
          <w:p>
            <w:r/>
            <w:r>
              <w:rPr>
                <w:sz w:val="16"/>
              </w:rPr>
              <w:t>Human empathy 3.04/5</w:t>
            </w:r>
          </w:p>
        </w:tc>
      </w:tr>
      <w:tr>
        <w:tc>
          <w:tcPr>
            <w:tcW w:type="dxa" w:w="2340"/>
          </w:tcPr>
          <w:p>
            <w:r/>
            <w:r>
              <w:rPr>
                <w:sz w:val="16"/>
              </w:rPr>
              <w:t>Qian et al., 2023 (arXiv 2310.05140)</w:t>
            </w:r>
          </w:p>
        </w:tc>
        <w:tc>
          <w:tcPr>
            <w:tcW w:type="dxa" w:w="2340"/>
          </w:tcPr>
          <w:p>
            <w:r/>
            <w:r>
              <w:rPr>
                <w:sz w:val="16"/>
              </w:rPr>
              <w:t>ED</w:t>
            </w:r>
          </w:p>
        </w:tc>
        <w:tc>
          <w:tcPr>
            <w:tcW w:type="dxa" w:w="2340"/>
          </w:tcPr>
          <w:p>
            <w:r/>
            <w:r>
              <w:rPr>
                <w:sz w:val="16"/>
              </w:rPr>
              <w:t>LLMs (ChatGPT) beat trained SOTA on automatic and human metrics</w:t>
            </w:r>
          </w:p>
        </w:tc>
        <w:tc>
          <w:tcPr>
            <w:tcW w:type="dxa" w:w="2340"/>
          </w:tcPr>
          <w:p>
            <w:r/>
            <w:r>
              <w:rPr>
                <w:sz w:val="16"/>
              </w:rPr>
              <w:t>Uncontrolled, verbose; no rule/format control measured</w:t>
            </w:r>
          </w:p>
        </w:tc>
      </w:tr>
      <w:tr>
        <w:tc>
          <w:tcPr>
            <w:tcW w:type="dxa" w:w="2340"/>
          </w:tcPr>
          <w:p>
            <w:r/>
            <w:r>
              <w:rPr>
                <w:sz w:val="16"/>
              </w:rPr>
              <w:t>Paranjape et al., 2020 - Chirpy Cardinal</w:t>
            </w:r>
          </w:p>
        </w:tc>
        <w:tc>
          <w:tcPr>
            <w:tcW w:type="dxa" w:w="2340"/>
          </w:tcPr>
          <w:p>
            <w:r/>
            <w:r>
              <w:rPr>
                <w:sz w:val="16"/>
              </w:rPr>
              <w:t>ED + live Alexa users</w:t>
            </w:r>
          </w:p>
        </w:tc>
        <w:tc>
          <w:tcPr>
            <w:tcW w:type="dxa" w:w="2340"/>
          </w:tcPr>
          <w:p>
            <w:r/>
            <w:r>
              <w:rPr>
                <w:sz w:val="16"/>
              </w:rPr>
              <w:t>RoBERTa-large emotion classifier on first utterance, 61.5% top-1</w:t>
            </w:r>
          </w:p>
        </w:tc>
        <w:tc>
          <w:tcPr>
            <w:tcW w:type="dxa" w:w="2340"/>
          </w:tcPr>
          <w:p>
            <w:r/>
            <w:r>
              <w:rPr>
                <w:sz w:val="16"/>
              </w:rPr>
              <w:t>Technical report; validation-set score</w:t>
            </w:r>
          </w:p>
        </w:tc>
      </w:tr>
      <w:tr>
        <w:tc>
          <w:tcPr>
            <w:tcW w:type="dxa" w:w="2340"/>
          </w:tcPr>
          <w:p>
            <w:r/>
            <w:r>
              <w:rPr>
                <w:sz w:val="16"/>
              </w:rPr>
              <w:t>Cao et al., 2025 - TOOL-ED (COLING)</w:t>
            </w:r>
          </w:p>
        </w:tc>
        <w:tc>
          <w:tcPr>
            <w:tcW w:type="dxa" w:w="2340"/>
          </w:tcPr>
          <w:p>
            <w:r/>
            <w:r>
              <w:rPr>
                <w:sz w:val="16"/>
              </w:rPr>
              <w:t>ED</w:t>
            </w:r>
          </w:p>
        </w:tc>
        <w:tc>
          <w:tcPr>
            <w:tcW w:type="dxa" w:w="2340"/>
          </w:tcPr>
          <w:p>
            <w:r/>
            <w:r>
              <w:rPr>
                <w:sz w:val="16"/>
              </w:rPr>
              <w:t>LLM tool-calling for commonsense knowledge; A/B human eval</w:t>
            </w:r>
          </w:p>
        </w:tc>
        <w:tc>
          <w:tcPr>
            <w:tcW w:type="dxa" w:w="2340"/>
          </w:tcPr>
          <w:p>
            <w:r/>
            <w:r>
              <w:rPr>
                <w:sz w:val="16"/>
              </w:rPr>
              <w:t>Fine-tuning 7-14B models; heavy resources</w:t>
            </w:r>
          </w:p>
        </w:tc>
      </w:tr>
      <w:tr>
        <w:tc>
          <w:tcPr>
            <w:tcW w:type="dxa" w:w="2340"/>
          </w:tcPr>
          <w:p>
            <w:r/>
            <w:r>
              <w:rPr>
                <w:sz w:val="16"/>
              </w:rPr>
              <w:t>Wu et al., 2025 - Personality-aware ERG (COLING)</w:t>
            </w:r>
          </w:p>
        </w:tc>
        <w:tc>
          <w:tcPr>
            <w:tcW w:type="dxa" w:w="2340"/>
          </w:tcPr>
          <w:p>
            <w:r/>
            <w:r>
              <w:rPr>
                <w:sz w:val="16"/>
              </w:rPr>
              <w:t>MELD-based multimodal + ED</w:t>
            </w:r>
          </w:p>
        </w:tc>
        <w:tc>
          <w:tcPr>
            <w:tcW w:type="dxa" w:w="2340"/>
          </w:tcPr>
          <w:p>
            <w:r/>
            <w:r>
              <w:rPr>
                <w:sz w:val="16"/>
              </w:rPr>
              <w:t>Personality + visual cues; emotion acc 45.4% text-only</w:t>
            </w:r>
          </w:p>
        </w:tc>
        <w:tc>
          <w:tcPr>
            <w:tcW w:type="dxa" w:w="2340"/>
          </w:tcPr>
          <w:p>
            <w:r/>
            <w:r>
              <w:rPr>
                <w:sz w:val="16"/>
              </w:rPr>
              <w:t>Needs multimodal input and personality labels</w:t>
            </w:r>
          </w:p>
        </w:tc>
      </w:tr>
      <w:tr>
        <w:tc>
          <w:tcPr>
            <w:tcW w:type="dxa" w:w="2340"/>
          </w:tcPr>
          <w:p>
            <w:r/>
            <w:r>
              <w:rPr>
                <w:sz w:val="16"/>
              </w:rPr>
              <w:t>Belay et al., 2025 (COLING)</w:t>
            </w:r>
          </w:p>
        </w:tc>
        <w:tc>
          <w:tcPr>
            <w:tcW w:type="dxa" w:w="2340"/>
          </w:tcPr>
          <w:p>
            <w:r/>
            <w:r>
              <w:rPr>
                <w:sz w:val="16"/>
              </w:rPr>
              <w:t>EthioEmo (4 Ethiopian languages) + SemEval-2018 English</w:t>
            </w:r>
          </w:p>
        </w:tc>
        <w:tc>
          <w:tcPr>
            <w:tcW w:type="dxa" w:w="2340"/>
          </w:tcPr>
          <w:p>
            <w:r/>
            <w:r>
              <w:rPr>
                <w:sz w:val="16"/>
              </w:rPr>
              <w:t>Encoder, encoder-decoder, decoder LLMs for multi-label emotion</w:t>
            </w:r>
          </w:p>
        </w:tc>
        <w:tc>
          <w:tcPr>
            <w:tcW w:type="dxa" w:w="2340"/>
          </w:tcPr>
          <w:p>
            <w:r/>
            <w:r>
              <w:rPr>
                <w:sz w:val="16"/>
              </w:rPr>
              <w:t>Fine-tuned encoders still beat few-shot LLMs at emotion classification</w:t>
            </w:r>
          </w:p>
        </w:tc>
      </w:tr>
      <w:tr>
        <w:tc>
          <w:tcPr>
            <w:tcW w:type="dxa" w:w="2340"/>
          </w:tcPr>
          <w:p>
            <w:r/>
            <w:r>
              <w:rPr>
                <w:sz w:val="16"/>
              </w:rPr>
              <w:t>Rasool et al., 2025 (AI, MDPI)</w:t>
            </w:r>
          </w:p>
        </w:tc>
        <w:tc>
          <w:tcPr>
            <w:tcW w:type="dxa" w:w="2340"/>
          </w:tcPr>
          <w:p>
            <w:r/>
            <w:r>
              <w:rPr>
                <w:sz w:val="16"/>
              </w:rPr>
              <w:t>Psychotherapy transcripts</w:t>
            </w:r>
          </w:p>
        </w:tc>
        <w:tc>
          <w:tcPr>
            <w:tcW w:type="dxa" w:w="2340"/>
          </w:tcPr>
          <w:p>
            <w:r/>
            <w:r>
              <w:rPr>
                <w:sz w:val="16"/>
              </w:rPr>
              <w:t>Emotion-aware embedding fusion into Flan-T5/Llama 2/DeepSeek-R1/GPT-4; BERT for emotion</w:t>
            </w:r>
          </w:p>
        </w:tc>
        <w:tc>
          <w:tcPr>
            <w:tcW w:type="dxa" w:w="2340"/>
          </w:tcPr>
          <w:p>
            <w:r/>
            <w:r>
              <w:rPr>
                <w:sz w:val="16"/>
              </w:rPr>
              <w:t>Paired t-tests non-significant; no human evaluation</w:t>
            </w:r>
          </w:p>
        </w:tc>
      </w:tr>
      <w:tr>
        <w:tc>
          <w:tcPr>
            <w:tcW w:type="dxa" w:w="2340"/>
          </w:tcPr>
          <w:p>
            <w:r/>
            <w:r>
              <w:rPr>
                <w:sz w:val="16"/>
              </w:rPr>
              <w:t>Wang et al., 2025 (arXiv 2507.12820)</w:t>
            </w:r>
          </w:p>
        </w:tc>
        <w:tc>
          <w:tcPr>
            <w:tcW w:type="dxa" w:w="2340"/>
          </w:tcPr>
          <w:p>
            <w:r/>
            <w:r>
              <w:rPr>
                <w:sz w:val="16"/>
              </w:rPr>
              <w:t>NLPCC 2025 ESC task</w:t>
            </w:r>
          </w:p>
        </w:tc>
        <w:tc>
          <w:tcPr>
            <w:tcW w:type="dxa" w:w="2340"/>
          </w:tcPr>
          <w:p>
            <w:r/>
            <w:r>
              <w:rPr>
                <w:sz w:val="16"/>
              </w:rPr>
              <w:t>Prompting + LoRA / full fine-tuning of Qwen2.5; total 41.17 vs 30.87 base, ranked 2nd</w:t>
            </w:r>
          </w:p>
        </w:tc>
        <w:tc>
          <w:tcPr>
            <w:tcW w:type="dxa" w:w="2340"/>
          </w:tcPr>
          <w:p>
            <w:r/>
            <w:r>
              <w:rPr>
                <w:sz w:val="16"/>
              </w:rPr>
              <w:t>Needs fine-tuning up to 72B parameters</w:t>
            </w:r>
          </w:p>
        </w:tc>
      </w:tr>
    </w:tbl>
    <w:p/>
    <w:p>
      <w:r>
        <w:rPr>
          <w:i/>
          <w:sz w:val="20"/>
        </w:rPr>
        <w:t>Table 2.1: Summary of the existing research reviewed in this chapter</w:t>
      </w:r>
    </w:p>
    <w:p>
      <w:pPr>
        <w:pStyle w:val="Heading1"/>
      </w:pPr>
      <w:r>
        <w:t>References</w:t>
      </w:r>
    </w:p>
    <w:p>
      <w:pPr>
        <w:ind w:left="576" w:hanging="576"/>
      </w:pPr>
      <w:r>
        <w:rPr>
          <w:sz w:val="20"/>
        </w:rPr>
        <w:t>[1] H. Rashkin, E. M. Smith, M. Li, and Y.-L. Boureau, "Towards empathetic open-domain conversation models: A new benchmark and dataset," in Proc. 57th Annu. Meeting Assoc. Comput. Linguistics (ACL), Florence, Italy, 2019, pp. 5370-5381, doi: 10.18653/v1/P19-1534.</w:t>
      </w:r>
    </w:p>
    <w:p>
      <w:pPr>
        <w:ind w:left="576" w:hanging="576"/>
      </w:pPr>
      <w:r>
        <w:rPr>
          <w:sz w:val="20"/>
        </w:rPr>
        <w:t>[2] S. Sabour, C. Zheng, and M. Huang, "CEM: Commonsense-aware empathetic response generation," in Proc. AAAI Conf. Artificial Intelligence, vol. 36, no. 10, 2022, pp. 11229-11237.</w:t>
      </w:r>
    </w:p>
    <w:p>
      <w:pPr>
        <w:ind w:left="576" w:hanging="576"/>
      </w:pPr>
      <w:r>
        <w:rPr>
          <w:sz w:val="20"/>
        </w:rPr>
        <w:t>[13] L. Zheng, W.-L. Chiang, Y. Sheng et al., "Judging LLM-as-a-judge with MT-Bench and Chatbot Arena," in Advances in Neural Information Processing Systems (NeurIPS), Datasets and Benchmarks Track, vol. 36, 2023; arXiv:2306.05685.</w:t>
      </w:r>
    </w:p>
    <w:p>
      <w:pPr>
        <w:ind w:left="576" w:hanging="576"/>
      </w:pPr>
      <w:r>
        <w:rPr>
          <w:sz w:val="20"/>
        </w:rPr>
        <w:t>[14] S. Giorgi, J. Sedoc, V. Barriere, and S. Tafreshi, "Findings of WASSA 2024 shared task on empathy and personality detection in interactions," in Proc. 14th Workshop Computational Approaches to Subjectivity, Sentiment, &amp; Social Media Analysis (WASSA), 2024, pp. 369-379, doi: 10.18653/v1/2024.wassa-1.30.</w:t>
      </w:r>
    </w:p>
    <w:p>
      <w:pPr>
        <w:ind w:left="576" w:hanging="576"/>
      </w:pPr>
      <w:r>
        <w:rPr>
          <w:sz w:val="20"/>
        </w:rPr>
        <w:t>[20] Z. Lin, A. Madotto, J. Shin, P. Xu, and P. Fung, "MoEL: Mixture of empathetic listeners," in Proc. 2019 Conf. Empirical Methods Natural Language Processing and 9th Int. Joint Conf. Natural Language Processing (EMNLP-IJCNLP), 2019, pp. 121-132, doi: 10.18653/v1/D19-1012.</w:t>
      </w:r>
    </w:p>
    <w:p>
      <w:pPr>
        <w:ind w:left="576" w:hanging="576"/>
      </w:pPr>
      <w:r>
        <w:rPr>
          <w:sz w:val="20"/>
        </w:rPr>
        <w:t>[21] N. Majumder, P. Hong, S. Peng, J. Lu, D. Ghosal, A. Gelbukh, R. Mihalcea, and S. Poria, "MIME: MIMicking emotions for empathetic response generation," in Proc. 2020 Conf. Empirical Methods Natural Language Processing (EMNLP), 2020, pp. 8968-8979, doi: 10.18653/v1/2020.emnlp-main.721.</w:t>
      </w:r>
    </w:p>
    <w:p>
      <w:pPr>
        <w:ind w:left="576" w:hanging="576"/>
      </w:pPr>
      <w:r>
        <w:rPr>
          <w:sz w:val="20"/>
        </w:rPr>
        <w:t>[22] Q. Li, H. Chen, Z. Ren, P. Ren, Z. Tu, and Z. Chen, "EmpDG: Multi-resolution interactive empathetic dialogue generation," in Proc. 28th Int. Conf. Computational Linguistics (COLING), 2020, pp. 4454-4466, doi: 10.18653/v1/2020.coling-main.394.</w:t>
      </w:r>
    </w:p>
    <w:p>
      <w:pPr>
        <w:ind w:left="576" w:hanging="576"/>
      </w:pPr>
      <w:r>
        <w:rPr>
          <w:sz w:val="20"/>
        </w:rPr>
        <w:t>[23] Y. Qian, W.-N. Zhang, and T. Liu, "Harnessing the power of large language models for empathetic response generation: Empirical investigations and improvements," in Findings Assoc. Comput. Linguistics: EMNLP 2023, 2023; arXiv:2310.05140.</w:t>
      </w:r>
    </w:p>
    <w:p>
      <w:pPr>
        <w:ind w:left="576" w:hanging="576"/>
      </w:pPr>
      <w:r>
        <w:rPr>
          <w:sz w:val="20"/>
        </w:rPr>
        <w:t>[24] Q. Li, P. Li, Z. Ren, P. Ren, and Z. Chen, "Knowledge bridging for empathetic dialogue generation," in Proc. AAAI Conf. Artificial Intelligence, vol. 36, no. 10, 2022, pp. 10993-11001.</w:t>
      </w:r>
    </w:p>
    <w:p>
      <w:pPr>
        <w:ind w:left="576" w:hanging="576"/>
      </w:pPr>
      <w:r>
        <w:rPr>
          <w:sz w:val="20"/>
        </w:rPr>
        <w:t>[25] J. Zhou, C. Zheng, B. Wang, Z. Zhang, and M. Huang, "CASE: Aligning coarse-to-fine cognition and affection for empathetic response generation," in Proc. 61st Annu. Meeting Assoc. Comput. Linguistics (ACL), vol. 1, 2023, pp. 8223-8237, doi: 10.18653/v1/2023.acl-long.457.</w:t>
      </w:r>
    </w:p>
    <w:p>
      <w:pPr>
        <w:ind w:left="576" w:hanging="576"/>
      </w:pPr>
      <w:r>
        <w:rPr>
          <w:sz w:val="20"/>
        </w:rPr>
        <w:t>[26] Z. Yang, Z. Ren, Y. Wang, X. Zhu, Z. Chen, T. Cai, Y. Wu, Y. Su, S. Ju, and X. Liao, "Exploiting emotion-semantic correlations for empathetic response generation," in Findings Assoc. Comput. Linguistics: EMNLP 2023, 2023, pp. 4826-4837, doi: 10.18653/v1/2023.findings-emnlp.320.</w:t>
      </w:r>
    </w:p>
    <w:p>
      <w:pPr>
        <w:ind w:left="576" w:hanging="576"/>
      </w:pPr>
      <w:r>
        <w:rPr>
          <w:sz w:val="20"/>
        </w:rPr>
        <w:t>[27] H. Cao, Y. Zhang, S. Feng, X. Yang, D. Wang, and Y. Zhang, "TOOL-ED: Enhancing empathetic response generation with the tool calling capability of LLM," in Proc. 31st Int. Conf. Computational Linguistics (COLING), Abu Dhabi, UAE, 2025, pp. 5305-5320.</w:t>
      </w:r>
    </w:p>
    <w:p>
      <w:pPr>
        <w:ind w:left="576" w:hanging="576"/>
      </w:pPr>
      <w:r>
        <w:rPr>
          <w:sz w:val="20"/>
        </w:rPr>
        <w:t>[28] J. Wu, X. Huang, Z. Zhu, and S. Wang, "From traits to empathy: Personality-aware multimodal empathetic response generation," in Proc. 31st Int. Conf. Computational Linguistics (COLING), Abu Dhabi, UAE, 2025, pp. 8925-8938.</w:t>
      </w:r>
    </w:p>
    <w:p>
      <w:pPr>
        <w:ind w:left="576" w:hanging="576"/>
      </w:pPr>
      <w:r>
        <w:rPr>
          <w:sz w:val="20"/>
        </w:rPr>
        <w:t>[29] V. Sorin, D. Brin, Y. Barash, E. Konen, A. Charney, G. Nadkarni, and E. Klang, "Large language models and empathy: Systematic review," J. Med. Internet Res., vol. 26, p. e52597, 2024, doi: 10.2196/52597.</w:t>
      </w:r>
    </w:p>
    <w:p>
      <w:pPr>
        <w:ind w:left="576" w:hanging="576"/>
      </w:pPr>
      <w:r>
        <w:rPr>
          <w:sz w:val="20"/>
        </w:rPr>
        <w:t>[30] S. Wang, R. Fang, Z. He, S. Song, and Y. Li, "Emotional support with LLM-based empathetic dialogue generation," arXiv:2507.12820, 2025.</w:t>
      </w:r>
    </w:p>
    <w:p>
      <w:pPr>
        <w:ind w:left="576" w:hanging="576"/>
      </w:pPr>
      <w:r>
        <w:rPr>
          <w:sz w:val="20"/>
        </w:rPr>
        <w:t>[31] A. Rasool, M. I. Shahzad, H. Aslam, V. Chan, and M. A. Arshad, "Emotion-aware embedding fusion in large language models (Flan-T5, Llama 2, DeepSeek-R1, and ChatGPT 4) for intelligent response generation," AI, vol. 6, no. 3, p. 56, 2025, doi: 10.3390/ai6030056.</w:t>
      </w:r>
    </w:p>
    <w:p>
      <w:pPr>
        <w:ind w:left="576" w:hanging="576"/>
      </w:pPr>
      <w:r>
        <w:rPr>
          <w:sz w:val="20"/>
        </w:rPr>
        <w:t>[32] A. Paranjape, A. See, K. Kenealy, H. Li, A. Hardy, P. Qi, K. R. Sadagopan, N. M. Phu, D. Soylu, and C. D. Manning, "Neural generation meets real people: Towards emotionally engaging mixed-initiative conversations," in 3rd Proc. Alexa Prize (Alexa Prize 2019), 2020; arXiv:2008.12348.</w:t>
      </w:r>
    </w:p>
    <w:p>
      <w:pPr>
        <w:ind w:left="576" w:hanging="576"/>
      </w:pPr>
      <w:r>
        <w:rPr>
          <w:sz w:val="20"/>
        </w:rPr>
        <w:t>[33] T. D. Belay, I. A. Azime, A. A. Ayele, G. Sidorov, D. Klakow, P. Slusallek, O. Kolesnikova, and S. M. Yimam, "Evaluating the capabilities of large language models for multi-label emotion understanding," in Proc. 31st Int. Conf. Computational Linguistics (COLING), Abu Dhabi, UAE, 2025, pp. 3523-3540.</w:t>
      </w:r>
    </w:p>
    <w:p>
      <w:pPr>
        <w:ind w:left="576" w:hanging="576"/>
      </w:pPr>
      <w:r>
        <w:rPr>
          <w:sz w:val="20"/>
        </w:rPr>
        <w:t>[34] A. Panickssery, S. R. Bowman, and S. Feng, "LLM evaluators recognize and favor their own generations," in Advances in Neural Information Processing Systems (NeurIPS), vol. 37, 2024; arXiv:2404.13076.</w:t>
      </w:r>
    </w:p>
    <w:p>
      <w:pPr>
        <w:ind w:left="576" w:hanging="576"/>
      </w:pPr>
      <w:r>
        <w:rPr>
          <w:sz w:val="20"/>
        </w:rPr>
        <w:t>[35] P. Verga, S. Hofstatter, S. Althammer, Y. Su, A. Piktus, A. Arkhangorodsky, M. Xu, N. White, and P. Lewis, "Replacing judges with juries: Evaluating LLM generations with a panel of diverse models," arXiv:2404.18796,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