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5.3.</w:t>
      </w:r>
    </w:p>
    <w:p>
      <w:pPr>
        <w:pStyle w:val="Heading1"/>
      </w:pPr>
      <w:r>
        <w:t>5.1.1 Experimental Setup</w:t>
      </w:r>
    </w:p>
    <w:p>
      <w:pPr>
        <w:spacing w:after="120"/>
      </w:pPr>
      <w:r>
        <w:t xml:space="preserve">All generation systems respond to the same 300 conversations, sampled with seed 42 from the EmpatheticDialogues test partition [1],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1"/>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5.4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[32].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r>
        <w:rPr>
          <w:i/>
          <w:sz w:val="20"/>
        </w:rPr>
        <w:t>Table 5.3: Precision, recall and F1 of the final detector for each emotion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5.4: Most frequent confusions made by the final detector</w:t>
      </w:r>
    </w:p>
    <w:p>
      <w:pPr>
        <w:pStyle w:val="Heading1"/>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1"/>
      </w:pPr>
      <w:r>
        <w:t>5.1.4 Empathy Classifier Score</w:t>
      </w:r>
    </w:p>
    <w:p>
      <w:pPr>
        <w:spacing w:after="120"/>
      </w:pPr>
      <w:r>
        <w:t xml:space="preserve">Figure 5.2 shows the WASSA empathy scores [15]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5.4.4). Gemma-3-4B (5.30) and the larger single model (5.76) score higher, and Section 5.4 shows that Gemma's advantage is explained by the length of its replies. The classifier outputs coarse ordinal classes, and our replies fall between classes 1 and 7. It was also trained on empathy ratings of turns in peer discussions of news articles [14]. We therefore interpret differences between system averages rather than absolute values; Section 5.3.6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1"/>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1"/>
      </w:pPr>
      <w:r>
        <w:t>5.1.6 Behaviour of the Two-Stage Emotion Selection</w:t>
      </w:r>
    </w:p>
    <w:p>
      <w:pPr>
        <w:spacing w:after="120"/>
      </w:pPr>
      <w:r>
        <w:t xml:space="preserve">Table 5.5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5.5: Accuracy of the stage-1 emotion selection compared with the detector's top-1 prediction</w:t>
      </w:r>
    </w:p>
    <w:p>
      <w:pPr>
        <w:pStyle w:val="Heading1"/>
      </w:pPr>
      <w:r>
        <w:t>5.1.7 Diversity and Repetition</w:t>
      </w:r>
    </w:p>
    <w:p>
      <w:pPr>
        <w:spacing w:after="120"/>
      </w:pPr>
      <w:r>
        <w:t>Table 5.6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[29].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5.6: Lexical diversity and boilerplate repetition of selected systems</w:t>
      </w:r>
    </w:p>
    <w:p>
      <w:pPr>
        <w:pStyle w:val="Heading1"/>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5.7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5.3.7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5.3.7 tests which of these differences are statistically significant and how closely the judges agree.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5.7: Average AI-judge scores (1-10) by system</w:t>
      </w:r>
    </w:p>
    <w:p>
      <w:pPr>
        <w:pStyle w:val="Heading1"/>
      </w:pPr>
      <w:r>
        <w:t>5.1.9 Human Evaluation</w:t>
      </w:r>
    </w:p>
    <w:p>
      <w:pPr>
        <w:spacing w:after="120"/>
      </w:pPr>
      <w:r>
        <w:t xml:space="preserve">To validate the automatic and AI-judge results, we conducted a forced-choice study with human participants (Table 5.8).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[27], [28]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r>
        <w:rPr>
          <w:i/>
          <w:sz w:val="20"/>
        </w:rPr>
        <w:t>Table 5.8: Design of the human-evaluation items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5.9: Human-evaluation results (to be completed)</w:t>
      </w:r>
    </w:p>
    <w:p>
      <w:pPr>
        <w:pStyle w:val="Heading1"/>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