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5.4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1"/>
      </w:pPr>
      <w:r>
        <w:t>5.4.1 Emotion Recognition Compared with Published Work</w:t>
      </w:r>
    </w:p>
    <w:p>
      <w:pPr>
        <w:spacing w:after="120"/>
      </w:pPr>
      <w:r>
        <w:t xml:space="preserve">Table 5.21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[20], MIME [21], EmpDG [22], KEMP [24], CEM [2], CASE [25] and ESCM [26], at 30.6-41.2%, as well as personality-aware and related models at 45.4-48.3% [28]. It is on par with RoBERTa-GPT2 (51.5%) [48]. Two differences explain this gap. First, our detector is initialised from RoBERTa, which was pre-trained on about 160 GB of text [6], whereas joint models such as MoEL and CASE initialise their word representations from GloVe vectors and train their encoders on EmpatheticDialogues alone [20], [25]. RoBERTa-GPT2, which is built on pre-trained RoBERTa and GPT-2 models, is the only joint model in Table 5.21 that matches our accuracy, showing that pre-training, rather than access to the whole conversation, drives the higher accuracy. Second, our detector is trained and selected only for emotion classification, whereas the joint models learn emotion recognition as an auxiliary task and share their capacity with response generation.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[1] and RoBERTa (65.9%) [49],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[32],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5.4.3,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5.21: Emotion recognition accuracy on EmpatheticDialogues reported in published work and in this thesis</w:t>
      </w:r>
    </w:p>
    <w:p>
      <w:pPr>
        <w:pStyle w:val="Heading1"/>
      </w:pPr>
      <w:r>
        <w:t>5.4.2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[23], and fine-tuned tool-augmented LLMs win 61-72% of A/B empathy comparisons against models fine-tuned without tools [27] (Table 5.22).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5.22: Human evaluation of empathy in published work and in this thesis</w:t>
      </w:r>
    </w:p>
    <w:p>
      <w:pPr>
        <w:pStyle w:val="Heading1"/>
      </w:pPr>
      <w:r>
        <w:t>5.4.3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5.23). Within a single pipeline, replies built on a wrong emotion label follow the rules as often as those built on a correct label, and are scored as equally empathetic (Table 5.14). Replies are robust to label errors partly because most errors occur between neighbouring emotions (Section 5.4.6),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5.16). Across three independent tests, namely label errors, a GPT-2 to RoBERTa swap and a RoBERTa-base to RoBERTa-large swap, gains of two to three points in detection accuracy never translated into better replies.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r>
        <w:rPr>
          <w:i/>
          <w:sz w:val="20"/>
        </w:rPr>
        <w:t>Table 5.23: Effect of a more accurate detector with the generator held fixed</w:t>
      </w:r>
    </w:p>
    <w:p>
      <w:pPr>
        <w:pStyle w:val="Heading1"/>
      </w:pPr>
      <w:r>
        <w:t>5.4.4 Relationship between Reply Length and Measured Empathy</w:t>
      </w:r>
    </w:p>
    <w:p>
      <w:pPr>
        <w:spacing w:after="120"/>
      </w:pPr>
      <w:r>
        <w:t>WASSA empathy increases with reply length within every system, with Spearman correlations from 0.14 (top-1 Phi-4-mini) to 0.54 (zero-shot prompting) (Table 5.17). Measured empathy is therefore partly a function of verbosity, in line with the observation that longer LLM responses may be mistaken for greater empathy [29].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[13], should therefore be interpreted together with reply length.</w:t>
      </w:r>
    </w:p>
    <w:p>
      <w:pPr>
        <w:pStyle w:val="Heading1"/>
      </w:pPr>
      <w:r>
        <w:t>5.4.5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4.7).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1"/>
      </w:pPr>
      <w:r>
        <w:t>5.4.6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5.4), a pattern also reported for a comparable classifier [32].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1"/>
      </w:pPr>
      <w:r>
        <w:t>5.4.7 Parameter and Resource Efficiency</w:t>
      </w:r>
    </w:p>
    <w:p>
      <w:pPr>
        <w:spacing w:after="120"/>
      </w:pPr>
      <w:r>
        <w:t xml:space="preserve">Table 5.24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5.3.7)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5.25). RoBERTa-large has 2.8 times as many parameters as RoBERTa-base, took 7.4 times as long to train and is 2.9 points more accurate on the test partition, yet substituting it into the final system improved neither rule adherence, WASSA empathy nor emotion validation (Section 5.3.3).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5.24: Reply quality against total parameters for the final system and the single models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r>
        <w:rPr>
          <w:i/>
          <w:sz w:val="20"/>
        </w:rPr>
        <w:t>Table 5.25: Detector size, detection accuracy and final-system reply quality for RoBERTa-base and RoBERTa-large</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5.26: GPU memory and response time of the final system and the single models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r>
        <w:rPr>
          <w:i/>
          <w:sz w:val="20"/>
        </w:rPr>
        <w:t>Table 5.27: Paired comparison of response time and memory between the final system and each single model</w:t>
      </w:r>
    </w:p>
    <w:p>
      <w:pPr>
        <w:pStyle w:val="Heading1"/>
      </w:pPr>
      <w:r>
        <w:t>5.4.8 Validity of the Response Rules</w:t>
      </w:r>
    </w:p>
    <w:p>
      <w:pPr>
        <w:spacing w:after="120"/>
      </w:pPr>
      <w:r>
        <w:t xml:space="preserve">Because rule adherence is one of our main measures, the rules themselves require justification: a system that follows our rules is only better if the rules describe something that matters. Table 5.28 gives the origin of each rule and its measured effect. The effects are computed </w:t>
      </w:r>
      <w:r>
        <w:rPr>
          <w:b/>
        </w:rPr>
        <w:t>within each system</w:t>
      </w:r>
      <w:r>
        <w:t>, by removing each system's own mean before comparing replies that follow the rule with replies that do not, so they cannot be explained by differences between systems.</w:t>
      </w:r>
    </w:p>
    <w:p>
      <w:pPr>
        <w:spacing w:after="120"/>
      </w:pPr>
      <w:r>
        <w:rPr>
          <w:b/>
        </w:rPr>
        <w:t>Acknowledging the feeling (R1)</w:t>
      </w:r>
      <w:r>
        <w:t xml:space="preserve"> corresponds to the </w:t>
      </w:r>
      <w:r>
        <w:rPr>
          <w:i/>
        </w:rPr>
        <w:t>emotional reactions</w:t>
      </w:r>
      <w:r>
        <w:t xml:space="preserve"> mechanism of EPITOME, a framework of empathy in text-based mental-health support derived from established empathy scales [41]. In our data, replies containing an acknowledgement score 0.36 points higher on WASSA empathy within the same system (p &lt; 0.001, 3,300 replies). The AI judges show the same direction but no significant effect (+0.11, p = 0.91).</w:t>
      </w:r>
    </w:p>
    <w:p>
      <w:pPr>
        <w:spacing w:after="120"/>
      </w:pPr>
      <w:r>
        <w:rPr>
          <w:b/>
        </w:rPr>
        <w:t>Asking exactly one question (R2)</w:t>
      </w:r>
      <w:r>
        <w:t xml:space="preserve"> balances two considerations. Questions are the </w:t>
      </w:r>
      <w:r>
        <w:rPr>
          <w:i/>
        </w:rPr>
        <w:t>explorations</w:t>
      </w:r>
      <w:r>
        <w:t xml:space="preserve"> mechanism of EPITOME [41] and are the most frequent listener behaviour in EmpatheticDialogues [49], so a reply with no question closes the conversation; but asking several questions is the "question-answer trap" that counselling guidance warns reduces engagement [42], and only 4.7% of EmpatheticDialogues listener replies ask more than one. </w:t>
      </w:r>
      <w:r>
        <w:rPr>
          <w:b/>
        </w:rPr>
        <w:t>Neither automatic measure rewards this rule</w:t>
      </w:r>
      <w:r>
        <w:t>: WASSA is 0.20 points lower for replies with exactly one question and the judges show no effect. We therefore present R2 as a usability and safety requirement that prevents the interrogation failure mode, visible in the uncorrected fine-tuned baseline, rather than as a route to a higher empathy score.</w:t>
      </w:r>
    </w:p>
    <w:p>
      <w:pPr>
        <w:spacing w:after="120"/>
      </w:pPr>
      <w:r>
        <w:rPr>
          <w:b/>
        </w:rPr>
        <w:t>Staying within 120 words (R3)</w:t>
      </w:r>
      <w:r>
        <w:t xml:space="preserve"> keeps a reply readable for a distressed user. Here the two measures disagree. The AI judges rate replies within the limit 0.65 points higher on empathy within the same system (p = 0.006), whereas WASSA rates them 0.22 points lower, consistent with its preference for longer replies (Section 5.4.4). Because WASSA's length preference is a known weakness and the judges read the text itself, we treat the judges' result as the more informative of the two.</w:t>
      </w:r>
    </w:p>
    <w:p>
      <w:pPr>
        <w:spacing w:after="120"/>
      </w:pPr>
      <w:r>
        <w:t>In summary, R1 is supported by both a published framework and our data, R3 is supported by the judges and by the needs of the use case, and R2 is supported by counselling practice and by how people actually reply in the dataset, but not by our automatic empathy measures. The human evaluation, which asks people which reply best understands the speaker, is the test that can settle R2, and it is still in progress.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r>
        <w:rPr>
          <w:i/>
          <w:sz w:val="20"/>
        </w:rPr>
        <w:t>Table 5.28: Origin of each response rule and its measured effect within systems</w:t>
      </w:r>
    </w:p>
    <w:p>
      <w:pPr>
        <w:pStyle w:val="Heading1"/>
      </w:pPr>
      <w:r>
        <w:t>5.4.9 Separating the Effect of the Detector from the Effect of the Generator</w:t>
      </w:r>
    </w:p>
    <w:p>
      <w:pPr>
        <w:spacing w:after="120"/>
      </w:pPr>
      <w:r>
        <w:t xml:space="preserve">The comparisons in Section 5.3.2 hold the conversations and decoding fixed but not the generator, because the final system's generator (Phi-4-mini) is larger than the 1.5-billion-parameter single model. To attribute the results correctly, we ran a further baseline in which </w:t>
      </w:r>
      <w:r>
        <w:rPr>
          <w:b/>
        </w:rPr>
        <w:t>the final system's own generator is given the single-model prompt with no detector at all</w:t>
      </w:r>
      <w:r>
        <w:t>, so that the only difference from the final system is the decoupled design.</w:t>
      </w:r>
    </w:p>
    <w:p>
      <w:pPr>
        <w:spacing w:after="120"/>
      </w:pPr>
      <w:r>
        <w:t xml:space="preserve">The result separates the two effects cleanly. </w:t>
      </w:r>
      <w:r>
        <w:rPr>
          <w:b/>
        </w:rPr>
        <w:t>Model capacity explains the structural gains, and the decoupled design explains the empathic gains.</w:t>
      </w:r>
      <w:r>
        <w:t xml:space="preserve"> Moving from Qwen2.5-1.5B to Phi-4-mini as a single model raises rule adherence from 51.3% to 73.7% (+22.3 points, p &lt; 0.001) but leaves empathy and emotional fidelity essentially unchanged: WASSA moves from 4.84 to 4.75 (p = 0.18) and emotion validation from 25.7% to 27.0% (p = 0.70). In other words, </w:t>
      </w:r>
      <w:r>
        <w:rPr>
          <w:b/>
        </w:rPr>
        <w:t>a larger generator alone buys none of the empathy we report</w:t>
      </w:r>
      <w:r>
        <w:t xml:space="preserve">. Adding the detector, the top-3 candidates and the emotion-specific guidance to that same generator raises </w:t>
      </w:r>
      <w:r>
        <w:rPr>
          <w:b/>
        </w:rPr>
        <w:t>WASSA from 4.75 to 5.05 (+0.30, adjusted p &lt; 0.001) and emotion validation from 27.0% to 36.7% (+9.7 points, adjusted p = 0.007)</w:t>
      </w:r>
      <w:r>
        <w:t>. Both gains are therefore caused by the decoupled design, not by the size of the generator, which answers the question the Pre-Thesis 2 panel raised about whether the second model earns its place.</w:t>
      </w:r>
    </w:p>
    <w:p>
      <w:pPr>
        <w:spacing w:after="120"/>
      </w:pPr>
      <w:r>
        <w:t xml:space="preserve">The same comparison shows the cost of the design. With the generator held fixed, the decoupled system follows all three rules less often than the single model (60.0% against 73.7%, adjusted p = 0.002), mainly through the acknowledgement check (66.3% against 77.3%, p = 0.013); the one-question rule does not differ (92.7% against 96.0%, p = 0.22) and every reply stays within the length limit. The prompt is the likely cause: in the decoupled system, the three rules share space with emotion-specific guidance and cue words, whereas the single-model prompt contains the rules alone. Two qualifications should be kept in mind. The acknowledgement check is keyword-based (Section 5.4.8), so replies that validate a feeling in wording outside the keyword list are not counted, and rule adherence measures the </w:t>
      </w:r>
      <w:r>
        <w:rPr>
          <w:i/>
        </w:rPr>
        <w:t>form</w:t>
      </w:r>
      <w:r>
        <w:t xml:space="preserve"> of a reply, whereas WASSA and emotion validation measure what the reply expresses.</w:t>
      </w:r>
    </w:p>
    <w:p>
      <w:pPr>
        <w:spacing w:after="120"/>
      </w:pPr>
      <w:r>
        <w:t>The AI judges, which read the replies themselves, place the two systems level: the single model scores 8.04 for empathy and 8.78 overall against 7.84 and 8.68 for the decoupled system, and neither difference is significant after correction (p = 0.077 and p = 0.16). The evidence at an equal generator is therefore mixed in the way one would expect from measures that look at different things: the decoupled system wins on the emotion the reply expresses (emotion validation, +9.7 points) and on the empathy classifier (+0.30), the single model wins on rule adherence (+13.7 points), and the judges see no reliable difference.</w:t>
      </w:r>
    </w:p>
    <w:p>
      <w:pPr>
        <w:spacing w:after="120"/>
      </w:pPr>
      <w:r>
        <w:rPr>
          <w:b/>
        </w:rPr>
        <w:t>In summary, at an equal generator the decoupled design is the better configuration for the goal of this thesis</w:t>
      </w:r>
      <w:r>
        <w:t>, producing measurably more emotionally faithful replies and higher classifier-rated empathy, with the emotional decision exposed for inspection, while the judges rate the two configurations equally. It trades part of its rule adherence for that gain, and we report the trade-off rather than claiming an advantage on every measure.</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[2] S. Sabour, C. Zheng, and M. Huang, "CEM: Commonsense-aware empathetic response generation," in Proc. AAAI Conf. Artificial Intelligence, vol. 36, no. 10, 2022, pp. 11229-11237.</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[20] Z. Lin, A. Madotto, J. Shin, P. Xu, and P. Fung, "MoEL: Mixture of empathetic listeners," in Proc. 2019 Conf. Empirical Methods Natural Language Processing and 9th Int. Joint Conf. Natural Language Processing (EMNLP-IJCNLP), 2019, pp. 121-132, doi: 10.18653/v1/D19-1012.</w:t>
      </w:r>
    </w:p>
    <w:p>
      <w:pPr>
        <w:ind w:left="576" w:hanging="576"/>
      </w:pPr>
      <w:r>
        <w:rPr>
          <w:sz w:val="20"/>
        </w:rPr>
        <w:t>[21] N. Majumder, P. Hong, S. Peng, J. Lu, D. Ghosal, A. Gelbukh, R. Mihalcea, and S. Poria, "MIME: MIMicking emotions for empathetic response generation," in Proc. 2020 Conf. Empirical Methods Natural Language Processing (EMNLP), 2020, pp. 8968-8979, doi: 10.18653/v1/2020.emnlp-main.721.</w:t>
      </w:r>
    </w:p>
    <w:p>
      <w:pPr>
        <w:ind w:left="576" w:hanging="576"/>
      </w:pPr>
      <w:r>
        <w:rPr>
          <w:sz w:val="20"/>
        </w:rPr>
        <w:t>[22] Q. Li, H. Chen, Z. Ren, P. Ren, Z. Tu, and Z. Chen, "EmpDG: Multi-resolution interactive empathetic dialogue generation," in Proc. 28th Int. Conf. Computational Linguistics (COLING), 2020, pp. 4454-4466, doi: 10.18653/v1/2020.coling-main.394.</w:t>
      </w:r>
    </w:p>
    <w:p>
      <w:pPr>
        <w:ind w:left="576" w:hanging="576"/>
      </w:pPr>
      <w:r>
        <w:rPr>
          <w:sz w:val="20"/>
        </w:rPr>
        <w:t>[23] Y. Qian, W.-N. Zhang, and T. Liu, "Harnessing the power of large language models for empathetic response generation: Empirical investigations and improvements," in Findings Assoc. Comput. Linguistics: EMNLP 2023, 2023; arXiv:2310.05140.</w:t>
      </w:r>
    </w:p>
    <w:p>
      <w:pPr>
        <w:ind w:left="576" w:hanging="576"/>
      </w:pPr>
      <w:r>
        <w:rPr>
          <w:sz w:val="20"/>
        </w:rPr>
        <w:t>[24] Q. Li, P. Li, Z. Ren, P. Ren, and Z. Chen, "Knowledge bridging for empathetic dialogue generation," in Proc. AAAI Conf. Artificial Intelligence, vol. 36, no. 10, 2022, pp. 10993-11001.</w:t>
      </w:r>
    </w:p>
    <w:p>
      <w:pPr>
        <w:ind w:left="576" w:hanging="576"/>
      </w:pPr>
      <w:r>
        <w:rPr>
          <w:sz w:val="20"/>
        </w:rPr>
        <w:t>[25] J. Zhou, C. Zheng, B. Wang, Z. Zhang, and M. Huang, "CASE: Aligning coarse-to-fine cognition and affection for empathetic response generation," in Proc. 61st Annu. Meeting Assoc. Comput. Linguistics (ACL), vol. 1, 2023, pp. 8223-8237, doi: 10.18653/v1/2023.acl-long.457.</w:t>
      </w:r>
    </w:p>
    <w:p>
      <w:pPr>
        <w:ind w:left="576" w:hanging="576"/>
      </w:pPr>
      <w:r>
        <w:rPr>
          <w:sz w:val="20"/>
        </w:rPr>
        <w:t>[26] Z. Yang, Z. Ren, Y. Wang, X. Zhu, Z. Chen, T. Cai, Y. Wu, Y. Su, S. Ju, and X. Liao, "Exploiting emotion-semantic correlations for empathetic response generation," in Findings Assoc. Comput. Linguistics: EMNLP 2023, 2023, pp. 4826-4837, doi: 10.18653/v1/2023.findings-emnlp.320.</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p>
      <w:pPr>
        <w:ind w:left="576" w:hanging="576"/>
      </w:pPr>
      <w:r>
        <w:rPr>
          <w:sz w:val="20"/>
        </w:rPr>
        <w:t>[41] A. Sharma, A. S. Miner, D. C. Atkins, and T. Althoff, "A computational approach to understanding empathy expressed in text-based mental health support," in Proc. 2020 Conf. Empirical Methods Natural Language Processing (EMNLP), 2020, pp. 5263-5276, doi: 10.18653/v1/2020.emnlp-main.425.</w:t>
      </w:r>
    </w:p>
    <w:p>
      <w:pPr>
        <w:ind w:left="576" w:hanging="576"/>
      </w:pPr>
      <w:r>
        <w:rPr>
          <w:sz w:val="20"/>
        </w:rPr>
        <w:t>[42] Substance Abuse and Mental Health Services Administration, Enhancing Motivation for Change in Substance Use Disorder Treatment, Treatment Improvement Protocol (TIP) Series No. 35, SAMHSA Publication No. PEP19-02-01-003. Rockville, MD, USA: SAMHSA, 2019, ch. 3.</w:t>
      </w:r>
    </w:p>
    <w:p>
      <w:pPr>
        <w:ind w:left="576" w:hanging="576"/>
      </w:pPr>
      <w:r>
        <w:rPr>
          <w:sz w:val="20"/>
        </w:rPr>
        <w:t>[48] Y. Liu, W. Maier, W. Minker, and S. Ultes, "Empathetic dialogue generation with pre-trained RoBERTa-GPT2 and external knowledge," in Proc. Int. Workshop Spoken Dialogue System Technology (IWSDS), 2021; arXiv:2109.03004.</w:t>
      </w:r>
    </w:p>
    <w:p>
      <w:pPr>
        <w:ind w:left="576" w:hanging="576"/>
      </w:pPr>
      <w:r>
        <w:rPr>
          <w:sz w:val="20"/>
        </w:rPr>
        <w:t>[49] A. Welivita and P. Pu, "A taxonomy of empathetic response intents in human social conversations," in Proc. 28th Int. Conf. Computational Linguistics (COLING), 2020, pp. 4886-4899, doi: 10.18653/v1/2020.coling-main.429.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