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pPr>
        <w:ind w:left="576" w:hanging="576"/>
      </w:pPr>
      <w:r>
        <w:rPr>
          <w:sz w:val="20"/>
        </w:rPr>
        <w:t>[1] A. Sharma, A. S. Miner, D. C. Atkins, and T. Althoff, "A computational approach to understanding empathy expressed in text-based mental health support," in Proc. 2020 Conf. Empirical Methods Natural Language Processing (EMNLP), 2020, pp. 5263-5276, doi: 10.18653/v1/2020.emnlp-main.425.</w:t>
      </w:r>
    </w:p>
    <w:p>
      <w:pPr>
        <w:ind w:left="576" w:hanging="576"/>
      </w:pPr>
      <w:r>
        <w:rPr>
          <w:sz w:val="20"/>
        </w:rPr>
        <w:t>[2]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[3]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[8]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[9]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[10]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[11]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[12]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[13]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[14]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[15]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[16]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[17]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[18]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[19]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[20]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[21]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[22]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[23]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[24]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[25]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[26]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[27]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[28]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[29]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[30]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[31]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[32]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[33]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[34]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[35]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[36]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[37]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[38]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[39]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[40]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[41] Substance Abuse and Mental Health Services Administration, Enhancing Motivation for Change in Substance Use Disorder Treatment, Treatment Improvement Protocol (TIP) Series No. 35, SAMHSA Publication No. PEP19-02-01-003. Rockville, MD, USA: SAMHSA, 2019, ch. 3.</w:t>
      </w:r>
    </w:p>
    <w:p>
      <w:pPr>
        <w:ind w:left="576" w:hanging="576"/>
      </w:pPr>
      <w:r>
        <w:rPr>
          <w:sz w:val="20"/>
        </w:rPr>
        <w:t>[42]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[43]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[44]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[45]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[46]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[47] A. Holtzman, J. Buys, L. Du, C. Fang, and Y. Choi, "The curious case of neural text degeneration," in Proc. Int. Conf. Learning Representations (ICLR), 2020.</w:t>
      </w:r>
    </w:p>
    <w:p>
      <w:pPr>
        <w:ind w:left="576" w:hanging="576"/>
      </w:pPr>
      <w:r>
        <w:rPr>
          <w:sz w:val="20"/>
        </w:rPr>
        <w:t>[48] Y. Liu, W. Maier, W. Minker, and S. Ultes, "Empathetic dialogue generation with pre-trained RoBERTa-GPT2 and external knowledge," in Proc. Int. Workshop Spoken Dialogue System Technology (IWSDS), 2021; arXiv:2109.03004.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