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The design process follows an iterative, evidence-gated methodology (Figure 4.1). Starting from the problem definition and its constraints, we prepare the data, design several alternatives for each component, simulate every alternative on the same held-out conversations, and evaluate the results with several independent measures and paired statistical tests. A design change is adopted only when this evidence supports it, and each adopted change returns to the design stage for further refinement.</w:t>
      </w:r>
    </w:p>
    <w:p>
      <w:r>
        <w:drawing>
          <wp:inline xmlns:a="http://schemas.openxmlformats.org/drawingml/2006/main" xmlns:pic="http://schemas.openxmlformats.org/drawingml/2006/picture">
            <wp:extent cx="5486400" cy="1886933"/>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1886933"/>
                    </a:xfrm>
                    <a:prstGeom prst="rect"/>
                  </pic:spPr>
                </pic:pic>
              </a:graphicData>
            </a:graphic>
          </wp:inline>
        </w:drawing>
      </w:r>
    </w:p>
    <w:p>
      <w:r>
        <w:rPr>
          <w:i/>
          <w:sz w:val="20"/>
        </w:rPr>
        <w:t>Figure 4.1: Design process followed in this work</w:t>
      </w:r>
    </w:p>
    <w:p>
      <w:pPr>
        <w:pStyle w:val="Heading2"/>
      </w:pPr>
      <w:r>
        <w:t>4.1.1 Problem Definition and Objective Formulation</w:t>
      </w:r>
    </w:p>
    <w:p>
      <w:pPr>
        <w:spacing w:after="120"/>
      </w:pPr>
      <w:r>
        <w:t xml:space="preserve">The objective is a text-based conversational system that responds to a person sharing an emotional experience with a short, validating and non-intrusive reply, and that makes its emotional reasoning inspectable. This objective translates into three measurable targets: (i) to identify the expressed emotion among 32 fine-grained categories and expose both the candidate emotions and the final choice; (ii) to generate replies that acknowledge the feeling, ask at most one question and remain short, following the empathy mechanisms of </w:t>
      </w:r>
      <w:r>
        <w:rPr>
          <w:i/>
        </w:rPr>
        <w:t>emotional reactions</w:t>
      </w:r>
      <w:r>
        <w:t xml:space="preserve"> and </w:t>
      </w:r>
      <w:r>
        <w:rPr>
          <w:i/>
        </w:rPr>
        <w:t>explorations</w:t>
      </w:r>
      <w:r>
        <w:t xml:space="preserve"> identified for text-based mental-health support [1] and the counselling guidance against asking several questions at once [37], whose validity is examined in Section 5.5.8; and (iii) to run all components on a single 8 GB consumer GPU without sending user messages to an external service. The central design question is whether emotion detection and response generation should be performed by separate models or whether a single model suffices. The methodology is therefore constructed to test that question rather than to assume its answer.</w:t>
      </w:r>
    </w:p>
    <w:p>
      <w:pPr>
        <w:pStyle w:val="Heading2"/>
      </w:pPr>
      <w:r>
        <w:t>4.1.2 Data Acquisition and Preprocessing</w:t>
      </w:r>
    </w:p>
    <w:p>
      <w:pPr>
        <w:spacing w:after="120"/>
      </w:pPr>
      <w:r>
        <w:t xml:space="preserve">We use EmpatheticDialogues [2] with its official training, validation and test partitions, which keep all conversations started by the same speaker in the same partition. Each conversation contributes one example: the </w:t>
      </w:r>
      <w:r>
        <w:rPr>
          <w:b/>
        </w:rPr>
        <w:t>first utterance</w:t>
      </w:r>
      <w:r>
        <w:t xml:space="preserve"> written by the speaker, labelled with the conversation's emotion. We deliberately do not use the dataset's situation-description field, because that text is written after the fact and states the feeling far more explicitly than a user's message, so a detector trained on it learns an easier task than the one it faces in use (Section 4.2.2 quantifies this effect). Preprocessing restores commas that the dataset encodes as the string "_comma_", discards rows that fail to parse, and retains the first utterance of each conversation, giving 2,542 test examples for evaluating the detector. For response generation, each test conversation is represented as a pair consisting of the speaker's first utterance and the listener's reply, and the same random sample of 300 conversations (seed 42) is used in every generation experiment, so that all systems respond to exactly the same inputs.</w:t>
      </w:r>
    </w:p>
    <w:p>
      <w:pPr>
        <w:pStyle w:val="Heading2"/>
      </w:pPr>
      <w:r>
        <w:t>4.1.3 Model Architecture Design</w:t>
      </w:r>
    </w:p>
    <w:p>
      <w:pPr>
        <w:spacing w:after="120"/>
      </w:pPr>
      <w:r>
        <w:t xml:space="preserve">We adopt a decoupled architecture with two components. The first, </w:t>
      </w:r>
      <w:r>
        <w:rPr>
          <w:b/>
        </w:rPr>
        <w:t>d1</w:t>
      </w:r>
      <w:r>
        <w:t xml:space="preserve">, is an encoder classifier that reads the user's text and outputs a probability distribution over the 32 emotions. The second, </w:t>
      </w:r>
      <w:r>
        <w:rPr>
          <w:b/>
        </w:rPr>
        <w:t>d2</w:t>
      </w:r>
      <w:r>
        <w:t xml:space="preserve">, is an instruction-tuned decoder that writes the reply, conditioned on d1's output through its system prompt. This design has three motivations. Encoders fine-tuned for classification outperform prompted generative models at emotion recognition [32]. A separate detection step exposes the system's emotional reasoning for inspection. And each component can be selected, replaced and evaluated independently within the memory budget. To test the design question rather than assume its answer, the design space deliberately includes </w:t>
      </w:r>
      <w:r>
        <w:rPr>
          <w:b/>
        </w:rPr>
        <w:t>monolithic alternatives</w:t>
      </w:r>
      <w:r>
        <w:t>: a generator with no detector prompted zero-shot, a generator fine-tuned end to end on EmpatheticDialogues replies, and single models of equal and larger size prompted to identify the emotion and respond in one step. It also includes several ways of connecting d1 to d2, described in Section 4.2.</w:t>
      </w:r>
    </w:p>
    <w:p>
      <w:pPr>
        <w:pStyle w:val="Heading2"/>
      </w:pPr>
      <w:r>
        <w:t>4.1.4 Model Training and Generation Strategy</w:t>
      </w:r>
    </w:p>
    <w:p>
      <w:pPr>
        <w:spacing w:after="120"/>
      </w:pPr>
      <w:r>
        <w:t xml:space="preserve">Only the detector is trained. Detector candidates are fully fine-tuned with a cross-entropy loss, early stopping on validation accuracy, and a learning rate that warms up linearly over the first 6% of training steps, following the fine-tuning practice of RoBERTa [6]. The generator is used </w:t>
      </w:r>
      <w:r>
        <w:rPr>
          <w:b/>
        </w:rPr>
        <w:t>zero-shot</w:t>
      </w:r>
      <w:r>
        <w:t xml:space="preserve"> and controlled entirely through its system prompt, for two reasons established by the experiments: a generator fine-tuned with LoRA [24] learns the dataset's short, casual listener replies, of which only 4.3% acknowledge the feeling, ask exactly one question and stay within the length limit, whereas prompting can be adapted to each emotion at no training cost. Generators larger than 1.5 billion parameters are loaded with 4-bit NF4 quantisation [23] to fit in GPU memory. All generation uses identical sampling settings (temperature 0.7, top-p 0.9, at most 250 new tokens and seed 42), so that differences between systems arise from their design rather than from decoding.</w:t>
      </w:r>
    </w:p>
    <w:p>
      <w:pPr>
        <w:pStyle w:val="Heading2"/>
      </w:pPr>
      <w:r>
        <w:t>4.1.5 Model Evaluation and Interpretation</w:t>
      </w:r>
    </w:p>
    <w:p>
      <w:pPr>
        <w:spacing w:after="120"/>
      </w:pPr>
      <w:r>
        <w:t xml:space="preserve">No single automatic measure captures empathy, so each design is evaluated with </w:t>
      </w:r>
      <w:r>
        <w:rPr>
          <w:b/>
        </w:rPr>
        <w:t>five independent signals</w:t>
      </w:r>
      <w:r>
        <w:t>: (1) rule adherence, which checks whether a reply acknowledges the feeling, asks exactly one question and stays within 120 words; (2) the WASSA 2024 empathy classifier; (3) emotion validation, which checks whether the emotion expressed in the reply, as read by the final detector, matches the true label; (4) a blind panel of AI judges from different developers, scoring empathy, relevance and safety; and (5) a human forced-choice study. Detector candidates are evaluated by top-1 accuracy, top-5 accuracy and macro-F1 on the full test partition. Because all systems respond to the same conversations, differences are tested with paired methods: McNemar's exact test for binary outcomes [40], the Wilcoxon signed-rank test for scores [41], bootstrap confidence intervals over 10,000 resamples [42], and Holm correction for multiple comparisons [43]. A difference is considered significant only when the corrected p-value is below 0.05 and the confidence interval excludes zero. We additionally analyse error propagation, that is, whether an incorrect detector label degrades the final reply, to establish which component limits overall quality.</w:t>
      </w:r>
    </w:p>
    <w:p>
      <w:pPr>
        <w:pStyle w:val="Heading3"/>
      </w:pPr>
      <w:r>
        <w:t>4.1.5.1 Selection of the AI-Judge Panel</w:t>
      </w:r>
    </w:p>
    <w:p>
      <w:pPr>
        <w:spacing w:after="120"/>
      </w:pPr>
      <w:r>
        <w:t xml:space="preserve">Using language models as evaluators is established practice: strong LLM judges agree with human preferences in more than 80% of cases [18]. They also carry known biases, and the panel was designed to counter them. First, LLM evaluators can recognise their own outputs and rate them more favourably [33]. We therefore selected judges from developers unrelated to the models being evaluated: </w:t>
      </w:r>
      <w:r>
        <w:rPr>
          <w:b/>
        </w:rPr>
        <w:t>Nemotron 3 Ultra</w:t>
      </w:r>
      <w:r>
        <w:t xml:space="preserve"> (NVIDIA, a 550-billion-parameter mixture-of-experts model) and </w:t>
      </w:r>
      <w:r>
        <w:rPr>
          <w:b/>
        </w:rPr>
        <w:t>gpt-oss-120b</w:t>
      </w:r>
      <w:r>
        <w:t xml:space="preserve"> (OpenAI, with openly released weights). Neither of them shares a model family with our generator, Phi-4-mini (Microsoft) [21], or with the Qwen baselines (Alibaba) [22]. Second, a panel of judges from different model families shows less bias than a single large judge [19], so the panel score is the mean of the two judges rather than the rating of one. Third, in line with the co-supervisor's requirement, all judges are flagship-tier models; smaller local judges considered earlier were not used.</w:t>
      </w:r>
    </w:p>
    <w:p>
      <w:pPr>
        <w:spacing w:after="120"/>
      </w:pPr>
      <w:r>
        <w:t xml:space="preserve">Each judge sees only the user's message and a single reply, never the name of the system or the reference reply, and scores empathy, relevance and safety from 1 to 10 against explicit anchors for the ranges 1-3, 4-6 and 7-10, at temperature 0. Both judges were available through free API tiers, which allowed team members without a GPU to run the evaluation. Several other flagship models were considered and could not be used because they were retired or restricted during the project (Section 3.7), so the panel was fixed at these two, </w:t>
      </w:r>
      <w:r>
        <w:rPr>
          <w:b/>
        </w:rPr>
        <w:t>which scored every reply of every judged system</w:t>
      </w:r>
      <w:r>
        <w:t>; scores from different judges are not comparable across systems, so using the same two judges throughout is what makes the comparison fair. Table 4.1 describes the panel and Table A.4 summarises the selection criteria.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4.1.5.2 Use of the WASSA Empathy Classifier</w:t>
      </w:r>
    </w:p>
    <w:p>
      <w:pPr>
        <w:spacing w:after="120"/>
      </w:pPr>
      <w:r>
        <w:t xml:space="preserve">As a signal independent of both the rule checks and the AI judges, we use the hyy33 system from the WASSA 2024 shared task, held at the ACL 2024 conference [17]. It suits this project for three reasons. It was trained on third-party human ratings of empathy for individual conversation turns [16], the same unit as the replies we evaluate. It is a peer-reviewed, publicly released system whose predictions correlate with human empathy ratings at r = 0.544 on the shared task's test set. And it belongs to a different model family, was trained on a different dataset and was developed by a different group from every component of our system, so it has no reason to favour our pipeline. Its limitations are also acknowledged. It was not the most accurate empathy predictor in its own shared task, where the organisers' RoBERTa baseline reached r = 0.694. Its training conversations are peer discussions of news articles rather than supportive replies. And it outputs coarse ordinal classes. Section 5.4 shows that on our data it nearly reproduces the AI judges' ranking of systems (Spearman rho = 0.94 across the judged systems) but is too noisy to rank individual replies (Table A.10), so it is used </w:t>
      </w:r>
      <w:r>
        <w:rPr>
          <w:b/>
        </w:rPr>
        <w:t>only to compare system averages</w:t>
      </w:r>
      <w:r>
        <w:t xml:space="preserve"> over 300 conversations.</w:t>
      </w:r>
    </w:p>
    <w:p>
      <w:pPr>
        <w:pStyle w:val="Heading2"/>
      </w:pPr>
      <w:r>
        <w:t>4.1.6 Implementation Environment</w:t>
      </w:r>
    </w:p>
    <w:p>
      <w:pPr>
        <w:spacing w:after="120"/>
      </w:pPr>
      <w:r>
        <w:t>All components are implemented in Python 3.10 with PyTorch 2.5.1 [44] and Hugging Face Transformers 5.16.1 [39], using bitsandbytes for 4-bit quantisation, SciPy [45] for statistical testing and scikit-learn [46] for classification metrics. All experiments run on a single NVIDIA GeForce RTX 4060 with 8 GB of memory [34] and 16 GB of system memory (Table 4.2).</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4.2: Software and hardware used in this work</w:t>
      </w:r>
    </w:p>
    <w:p>
      <w:pPr>
        <w:spacing w:after="120"/>
      </w:pPr>
      <w:r>
        <w:t>In summary, the design process treats the choice between a decoupled and a monolithic system as an empirical question. It holds data, sampling and decoding constant across all alternatives, and adopts only those changes supported by several independent measures that withstand paired statistical testing.</w:t>
      </w:r>
    </w:p>
    <w:p>
      <w:pPr>
        <w:pStyle w:val="Heading1"/>
      </w:pPr>
      <w:r>
        <w:t>4.2 Preliminary Design or Design (Model) Specification</w:t>
      </w:r>
    </w:p>
    <w:p>
      <w:pPr>
        <w:spacing w:after="120"/>
      </w:pPr>
      <w:r>
        <w:t>This section presents the alternative designs considered for each part of the system, the simulation evidence that decided between them, and the full specification of the selected design.</w:t>
      </w:r>
    </w:p>
    <w:p>
      <w:pPr>
        <w:pStyle w:val="Heading2"/>
      </w:pPr>
      <w:r>
        <w:t>4.2.1 Overview</w:t>
      </w:r>
    </w:p>
    <w:p>
      <w:pPr>
        <w:spacing w:after="120"/>
      </w:pPr>
      <w:r>
        <w:t>Figure 4.2 shows the selected design. The user's latest message, together with their preceding turns, is read by the emotion detector d1, a fine-tuned RoBERTa-base classifier [6], which outputs the three most probable of the 32 emotions. In a first, deterministic stage, the generator Phi-4-mini-instruct [21] chooses which of these three emotions best fits the message. The system prompt is then assembled from guidance specific to the chosen emotion, three behavioural rules, and the words that received the most attention within d1. In the second stage, Phi-4-mini generates the reply. Every intermediate decision is recorded. The following subsections describe the alternatives simulated for each component and the evidence behind each choice.</w:t>
      </w:r>
    </w:p>
    <w:p>
      <w:r>
        <w:drawing>
          <wp:inline xmlns:a="http://schemas.openxmlformats.org/drawingml/2006/main" xmlns:pic="http://schemas.openxmlformats.org/drawingml/2006/picture">
            <wp:extent cx="5486400" cy="2954908"/>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2954908"/>
                    </a:xfrm>
                    <a:prstGeom prst="rect"/>
                  </pic:spPr>
                </pic:pic>
              </a:graphicData>
            </a:graphic>
          </wp:inline>
        </w:drawing>
      </w:r>
    </w:p>
    <w:p>
      <w:r>
        <w:rPr>
          <w:i/>
          <w:sz w:val="20"/>
        </w:rPr>
        <w:t>Figure 4.2: Architecture of the selected system</w:t>
      </w:r>
    </w:p>
    <w:p>
      <w:pPr>
        <w:pStyle w:val="Heading2"/>
      </w:pPr>
      <w:r>
        <w:t>4.2.2 Emotion Detector Alternatives (d1)</w:t>
      </w:r>
    </w:p>
    <w:p>
      <w:pPr>
        <w:spacing w:after="120"/>
      </w:pPr>
      <w:r>
        <w:rPr>
          <w:b/>
        </w:rPr>
        <w:t>GPT-2 Medium (initial design):</w:t>
      </w:r>
      <w:r>
        <w:t xml:space="preserve"> the initial detector was GPT-2 Medium, a 355-million-parameter decoder-only model, fine-tuned on the dataset's situation descriptions. On those descriptions it reached 56.9% top-1 accuracy, but when evaluated on the input it actually receives, the user's first message, its accuracy fell to 48.2% (Table 4.3). This design was rejected for two reasons: it was trained on the wrong kind of text, and a left-to-right decoder is a weaker architecture for classification than a bidirectional encoder.</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d1 version</w:t>
            </w:r>
          </w:p>
        </w:tc>
        <w:tc>
          <w:tcPr>
            <w:tcW w:type="dxa" w:w="1560"/>
            <w:shd w:val="clear" w:color="auto" w:fill="E3EEFB"/>
          </w:tcPr>
          <w:p>
            <w:r>
              <w:rPr>
                <w:b/>
              </w:rPr>
            </w:r>
            <w:r>
              <w:rPr>
                <w:b/>
                <w:sz w:val="16"/>
              </w:rPr>
              <w:t>Trained on</w:t>
            </w:r>
          </w:p>
        </w:tc>
        <w:tc>
          <w:tcPr>
            <w:tcW w:type="dxa" w:w="1560"/>
            <w:shd w:val="clear" w:color="auto" w:fill="E3EEFB"/>
          </w:tcPr>
          <w:p>
            <w:r>
              <w:rPr>
                <w:b/>
              </w:rPr>
            </w:r>
            <w:r>
              <w:rPr>
                <w:b/>
                <w:sz w:val="16"/>
              </w:rPr>
              <w:t>Evaluated on</w:t>
            </w:r>
          </w:p>
        </w:tc>
        <w:tc>
          <w:tcPr>
            <w:tcW w:type="dxa" w:w="1560"/>
            <w:shd w:val="clear" w:color="auto" w:fill="E3EEFB"/>
          </w:tcPr>
          <w:p>
            <w:r>
              <w:rPr>
                <w:b/>
              </w:rPr>
            </w:r>
            <w:r>
              <w:rPr>
                <w:b/>
                <w:sz w:val="16"/>
              </w:rPr>
              <w:t>Top-1 (%)</w:t>
            </w:r>
          </w:p>
        </w:tc>
        <w:tc>
          <w:tcPr>
            <w:tcW w:type="dxa" w:w="1560"/>
            <w:shd w:val="clear" w:color="auto" w:fill="E3EEFB"/>
          </w:tcPr>
          <w:p>
            <w:r>
              <w:rPr>
                <w:b/>
              </w:rPr>
            </w:r>
            <w:r>
              <w:rPr>
                <w:b/>
                <w:sz w:val="16"/>
              </w:rPr>
              <w:t>Top-5 (%)</w:t>
            </w:r>
          </w:p>
        </w:tc>
        <w:tc>
          <w:tcPr>
            <w:tcW w:type="dxa" w:w="1560"/>
            <w:shd w:val="clear" w:color="auto" w:fill="E3EEFB"/>
          </w:tcPr>
          <w:p>
            <w:r>
              <w:rPr>
                <w:b/>
              </w:rPr>
            </w:r>
            <w:r>
              <w:rPr>
                <w:b/>
                <w:sz w:val="16"/>
              </w:rPr>
              <w:t>Note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situation text</w:t>
            </w:r>
          </w:p>
        </w:tc>
        <w:tc>
          <w:tcPr>
            <w:tcW w:type="dxa" w:w="1560"/>
          </w:tcPr>
          <w:p>
            <w:r/>
            <w:r>
              <w:rPr>
                <w:sz w:val="16"/>
              </w:rPr>
              <w:t>56.9</w:t>
            </w:r>
          </w:p>
        </w:tc>
        <w:tc>
          <w:tcPr>
            <w:tcW w:type="dxa" w:w="1560"/>
          </w:tcPr>
          <w:p>
            <w:r/>
            <w:r>
              <w:rPr>
                <w:sz w:val="16"/>
              </w:rPr>
              <w:t>90.5</w:t>
            </w:r>
          </w:p>
        </w:tc>
        <w:tc>
          <w:tcPr>
            <w:tcW w:type="dxa" w:w="1560"/>
          </w:tcPr>
          <w:p>
            <w:r/>
            <w:r>
              <w:rPr>
                <w:sz w:val="16"/>
              </w:rPr>
              <w:t>Matches training text, but NOT what the system receives at inference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first user message (real input)</w:t>
            </w:r>
          </w:p>
        </w:tc>
        <w:tc>
          <w:tcPr>
            <w:tcW w:type="dxa" w:w="1560"/>
          </w:tcPr>
          <w:p>
            <w:r/>
            <w:r>
              <w:rPr>
                <w:sz w:val="16"/>
              </w:rPr>
              <w:t>48.2</w:t>
            </w:r>
          </w:p>
        </w:tc>
        <w:tc>
          <w:tcPr>
            <w:tcW w:type="dxa" w:w="1560"/>
          </w:tcPr>
          <w:p>
            <w:r/>
            <w:r>
              <w:rPr>
                <w:sz w:val="16"/>
              </w:rPr>
              <w:t>82.7</w:t>
            </w:r>
          </w:p>
        </w:tc>
        <w:tc>
          <w:tcPr>
            <w:tcW w:type="dxa" w:w="1560"/>
          </w:tcPr>
          <w:p>
            <w:r/>
            <w:r>
              <w:rPr>
                <w:sz w:val="16"/>
              </w:rPr>
              <w:t>Honest deployment number - train/inference mismatch costs ~9 points</w:t>
            </w:r>
          </w:p>
        </w:tc>
      </w:tr>
      <w:tr>
        <w:tc>
          <w:tcPr>
            <w:tcW w:type="dxa" w:w="1560"/>
          </w:tcPr>
          <w:p>
            <w:r/>
            <w:r>
              <w:rPr>
                <w:sz w:val="16"/>
              </w:rPr>
              <w:t>RoBERTa-base (final)</w:t>
            </w:r>
          </w:p>
        </w:tc>
        <w:tc>
          <w:tcPr>
            <w:tcW w:type="dxa" w:w="1560"/>
          </w:tcPr>
          <w:p>
            <w:r/>
            <w:r>
              <w:rPr>
                <w:sz w:val="16"/>
              </w:rPr>
              <w:t>first user message</w:t>
            </w:r>
          </w:p>
        </w:tc>
        <w:tc>
          <w:tcPr>
            <w:tcW w:type="dxa" w:w="1560"/>
          </w:tcPr>
          <w:p>
            <w:r/>
            <w:r>
              <w:rPr>
                <w:sz w:val="16"/>
              </w:rPr>
              <w:t>first user message (real input)</w:t>
            </w:r>
          </w:p>
        </w:tc>
        <w:tc>
          <w:tcPr>
            <w:tcW w:type="dxa" w:w="1560"/>
          </w:tcPr>
          <w:p>
            <w:r/>
            <w:r>
              <w:rPr>
                <w:sz w:val="16"/>
              </w:rPr>
              <w:t>50.3</w:t>
            </w:r>
          </w:p>
        </w:tc>
        <w:tc>
          <w:tcPr>
            <w:tcW w:type="dxa" w:w="1560"/>
          </w:tcPr>
          <w:p>
            <w:r/>
            <w:r>
              <w:rPr>
                <w:sz w:val="16"/>
              </w:rPr>
              <w:t>84.3</w:t>
            </w:r>
          </w:p>
        </w:tc>
        <w:tc>
          <w:tcPr>
            <w:tcW w:type="dxa" w:w="1560"/>
          </w:tcPr>
          <w:p>
            <w:r/>
            <w:r>
              <w:rPr>
                <w:sz w:val="16"/>
              </w:rPr>
              <w:t>Deployed checkpoint; top-3 = 76.5%</w:t>
            </w:r>
          </w:p>
        </w:tc>
      </w:tr>
    </w:tbl>
    <w:p/>
    <w:p>
      <w:r>
        <w:rPr>
          <w:i/>
          <w:sz w:val="20"/>
        </w:rPr>
        <w:t>Table 4.3: Effect of training the detector on the text it receives in use</w:t>
      </w:r>
    </w:p>
    <w:p>
      <w:pPr>
        <w:spacing w:after="120"/>
      </w:pPr>
      <w:r>
        <w:rPr>
          <w:b/>
        </w:rPr>
        <w:t>Encoder candidates:</w:t>
      </w:r>
      <w:r>
        <w:t xml:space="preserve"> we then trained four encoder models under identical conditions: the same first-utterance data, four epochs, a maximum length of 128 tokens, a warmup ratio of 0.06, and the same test partition (Table 4.4, Figure 4.3). BERT-base reaches 48.8% top-1 and 81.7% top-5 accuracy, ELECTRA-base 50.2% and 82.7%, and RoBERTa-base 50.1% and 85.0%. The three base-sized models are statistically tied on top-1 accuracy, but RoBERTa-base is significantly better than both of the others on top-5 accuracy (Table A.8). Because the selected design passes the detector's three best candidates to the generator, the quality of the ranking matters more than the single top label, and </w:t>
      </w:r>
      <w:r>
        <w:rPr>
          <w:b/>
        </w:rPr>
        <w:t>RoBERTa-base was therefore selected</w:t>
      </w:r>
      <w:r>
        <w:t>. RoBERTa-large, with 355 million parameters, is significantly more accurate still (53.0% top-1 and 87.2% top-5), but it requires 7.4 times the training time. When it was substituted into the final pipeline, no measure of reply quality improved (Section 5.4), so RoBERTa-base was retained.</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r>
        <w:rPr>
          <w:i/>
          <w:sz w:val="20"/>
        </w:rPr>
        <w:t>Table 4.4: Comparison of detector models trained under identical settings</w:t>
      </w:r>
    </w:p>
    <w:p>
      <w:r>
        <w:drawing>
          <wp:inline xmlns:a="http://schemas.openxmlformats.org/drawingml/2006/main" xmlns:pic="http://schemas.openxmlformats.org/drawingml/2006/picture">
            <wp:extent cx="5486400" cy="2619563"/>
            <wp:docPr id="3" name="Picture 3"/>
            <wp:cNvGraphicFramePr>
              <a:graphicFrameLocks noChangeAspect="1"/>
            </wp:cNvGraphicFramePr>
            <a:graphic>
              <a:graphicData uri="http://schemas.openxmlformats.org/drawingml/2006/picture">
                <pic:pic>
                  <pic:nvPicPr>
                    <pic:cNvPr id="0" name="fig_d1_backbone_comparison.png"/>
                    <pic:cNvPicPr/>
                  </pic:nvPicPr>
                  <pic:blipFill>
                    <a:blip r:embed="rId11"/>
                    <a:stretch>
                      <a:fillRect/>
                    </a:stretch>
                  </pic:blipFill>
                  <pic:spPr>
                    <a:xfrm>
                      <a:off x="0" y="0"/>
                      <a:ext cx="5486400" cy="2619563"/>
                    </a:xfrm>
                    <a:prstGeom prst="rect"/>
                  </pic:spPr>
                </pic:pic>
              </a:graphicData>
            </a:graphic>
          </wp:inline>
        </w:drawing>
      </w:r>
    </w:p>
    <w:p>
      <w:r>
        <w:rPr>
          <w:i/>
          <w:sz w:val="20"/>
        </w:rPr>
        <w:t>Figure 4.3: Top-1 and top-5 accuracy of the candidate detectors</w:t>
      </w:r>
    </w:p>
    <w:p>
      <w:pPr>
        <w:pStyle w:val="Heading2"/>
      </w:pPr>
      <w:r>
        <w:t>4.2.3 Response Generator Alternatives (d2)</w:t>
      </w:r>
    </w:p>
    <w:p>
      <w:pPr>
        <w:spacing w:after="120"/>
      </w:pPr>
      <w:r>
        <w:t xml:space="preserve">To isolate the effect of the generator, we ran a controlled comparison in which the detector (RoBERTa-base), the prompt and rules, the 300 conversations and the decoding settings were all held fixed and only d2 was changed (Table 4.5). </w:t>
      </w:r>
      <w:r>
        <w:rPr>
          <w:b/>
        </w:rPr>
        <w:t>Qwen2.5-1.5B-Instruct</w:t>
      </w:r>
      <w:r>
        <w:t xml:space="preserve"> [22], the initial generator, followed all rules in 57.7% of replies. </w:t>
      </w:r>
      <w:r>
        <w:rPr>
          <w:b/>
        </w:rPr>
        <w:t>Gemma-3-4B-it</w:t>
      </w:r>
      <w:r>
        <w:t xml:space="preserve"> acknowledged feelings most often (96.7%) but kept to the length limit in only 27.7% of replies, averaging 133 words, so only 22.0% of its replies satisfied all rules. </w:t>
      </w:r>
      <w:r>
        <w:rPr>
          <w:b/>
        </w:rPr>
        <w:t>Phi-4-mini-instruct</w:t>
      </w:r>
      <w:r>
        <w:t xml:space="preserve">, with 3.8 billion parameters and 4-bit quantisation, achieved the highest rule adherence at 65.3% while keeping 96.0% of replies within the length limit, and </w:t>
      </w:r>
      <w:r>
        <w:rPr>
          <w:b/>
        </w:rPr>
        <w:t>was therefore selected</w:t>
      </w:r>
      <w:r>
        <w:t>. An earlier candidate, Phi-2, was excluded because it lacks a chat template and could not reliably follow system-prompt instructions.</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bl>
    <w:p/>
    <w:p>
      <w:r>
        <w:rPr>
          <w:i/>
          <w:sz w:val="20"/>
        </w:rPr>
        <w:t>Table 4.5: Generator candidates with the detector, prompt and conversations held fixed</w:t>
      </w:r>
    </w:p>
    <w:p>
      <w:pPr>
        <w:pStyle w:val="Heading2"/>
      </w:pPr>
      <w:r>
        <w:t>4.2.4 Integration Alternatives: How d1's Output Reaches d2</w:t>
      </w:r>
    </w:p>
    <w:p>
      <w:pPr>
        <w:spacing w:after="120"/>
      </w:pPr>
      <w:r>
        <w:t xml:space="preserve">Because d1 produces a full probability distribution, its output can be passed to the generator in several ways. Using the initial detector and generator, we simulated four variants on the same 300 conversations (Table 4.6). </w:t>
      </w:r>
      <w:r>
        <w:rPr>
          <w:i/>
        </w:rPr>
        <w:t>Argmax</w:t>
      </w:r>
      <w:r>
        <w:t xml:space="preserve"> passes only the most probable emotion and achieved 63.7% rule adherence. </w:t>
      </w:r>
      <w:r>
        <w:rPr>
          <w:i/>
        </w:rPr>
        <w:t>Confidence-gated</w:t>
      </w:r>
      <w:r>
        <w:t xml:space="preserve"> switches to tentative wording when d1 is uncertain and achieved 63.3%, but only 28.7% of the low-confidence replies actually used tentative wording. </w:t>
      </w:r>
      <w:r>
        <w:rPr>
          <w:i/>
        </w:rPr>
        <w:t>Distribution</w:t>
      </w:r>
      <w:r>
        <w:t xml:space="preserve"> lists every emotion with probability above 0.05 and achieved 62.0%. </w:t>
      </w:r>
      <w:r>
        <w:rPr>
          <w:i/>
        </w:rPr>
        <w:t>Candidate-pick</w:t>
      </w:r>
      <w:r>
        <w:t xml:space="preserve"> asks the generator to choose among the candidates and write the reply in a single call, and achieved 54.0%. None of the variants outperformed argmax, and candidate-pick reduced rule adherence, suggesting that a single generation call cannot both resolve the emotion and follow the rules reliably.</w:t>
      </w:r>
    </w:p>
    <w:p>
      <w:pPr>
        <w:spacing w:after="120"/>
      </w:pPr>
      <w:r>
        <w:t xml:space="preserve">This analysis motivated the </w:t>
      </w:r>
      <w:r>
        <w:rPr>
          <w:b/>
        </w:rPr>
        <w:t>two-stage</w:t>
      </w:r>
      <w:r>
        <w:t xml:space="preserve"> design adopted in the final system. The correct emotion lies among d1's three best candidates in 76.5% of test cases, compared with 50.3% for its top candidate alone, so the wider candidate set is valuable. However, combining several emotions in one prompt produces contradictory guidance: responding well to </w:t>
      </w:r>
      <w:r>
        <w:rPr>
          <w:i/>
        </w:rPr>
        <w:t>disappointed</w:t>
      </w:r>
      <w:r>
        <w:t xml:space="preserve">, for instance, is very different from responding well to </w:t>
      </w:r>
      <w:r>
        <w:rPr>
          <w:i/>
        </w:rPr>
        <w:t>impressed</w:t>
      </w:r>
      <w:r>
        <w:t>. The two-stage design therefore separates the choice of emotion into its own short, deterministic call, and gives the generation call a single, coherent prompt for that emotion.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4.6: Alternative ways of passing the detector's output to the generator</w:t>
      </w:r>
    </w:p>
    <w:p>
      <w:pPr>
        <w:pStyle w:val="Heading2"/>
      </w:pPr>
      <w:r>
        <w:t>4.2.5 Monolithic and Retrieval Alternatives</w:t>
      </w:r>
    </w:p>
    <w:p>
      <w:pPr>
        <w:spacing w:after="120"/>
      </w:pPr>
      <w:r>
        <w:t xml:space="preserve">To test whether a separate detector is needed at all, four monolithic alternatives were simulated using the same rules and conversations. In the </w:t>
      </w:r>
      <w:r>
        <w:rPr>
          <w:i/>
        </w:rPr>
        <w:t>zero-shot</w:t>
      </w:r>
      <w:r>
        <w:t xml:space="preserve"> alternative, Qwen2.5-1.5B receives a generic caring prompt and no detected emotion. In the </w:t>
      </w:r>
      <w:r>
        <w:rPr>
          <w:i/>
        </w:rPr>
        <w:t>monolithic fine-tuned</w:t>
      </w:r>
      <w:r>
        <w:t xml:space="preserve"> alternative, Qwen2.5-1.5B is fine-tuned with LoRA [24] directly on pairs of user messages and human replies. In the </w:t>
      </w:r>
      <w:r>
        <w:rPr>
          <w:i/>
        </w:rPr>
        <w:t>single model of the same size</w:t>
      </w:r>
      <w:r>
        <w:t xml:space="preserve">, Qwen2.5-1.5B is instructed to identify the emotion silently and then respond under the three rules. In the </w:t>
      </w:r>
      <w:r>
        <w:rPr>
          <w:i/>
        </w:rPr>
        <w:t>larger single model</w:t>
      </w:r>
      <w:r>
        <w:t>, the same prompt is given to Qwen2.5-7B in 4-bit form. Their results are analysed in Section 5.2. In brief, the fine-tuned model adopted the dataset's short, casual listener style and rarely acknowledged the user's feeling, the zero-shot model rarely asked the single required question, the same-size single model trailed the decoupled designs, and the larger single model performed best overall.</w:t>
      </w:r>
    </w:p>
    <w:p>
      <w:pPr>
        <w:spacing w:after="120"/>
      </w:pPr>
      <w:r>
        <w:t xml:space="preserve">We also simulated a </w:t>
      </w:r>
      <w:r>
        <w:rPr>
          <w:b/>
        </w:rPr>
        <w:t>retrieval-augmented</w:t>
      </w:r>
      <w:r>
        <w:t xml:space="preserve"> variant [25] that retrieves one or two similar training conversations with the same detected emotion, using all-MiniLM-L6-v2 sentence embeddings [26], and shows them to the generator as examples. Across two versions, retrieval reduced rule adherence from 63.7% to 54.3% and then to 43.7%, so it was not adopted (Table 4.7).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 (%)</w:t>
            </w:r>
          </w:p>
        </w:tc>
        <w:tc>
          <w:tcPr>
            <w:tcW w:type="dxa" w:w="1560"/>
            <w:shd w:val="clear" w:color="auto" w:fill="E3EEFB"/>
          </w:tcPr>
          <w:p>
            <w:r>
              <w:rPr>
                <w:b/>
              </w:rPr>
            </w:r>
            <w:r>
              <w:rPr>
                <w:b/>
                <w:sz w:val="16"/>
              </w:rPr>
              <w:t>One question (%)</w:t>
            </w:r>
          </w:p>
        </w:tc>
        <w:tc>
          <w:tcPr>
            <w:tcW w:type="dxa" w:w="1560"/>
            <w:shd w:val="clear" w:color="auto" w:fill="E3EEFB"/>
          </w:tcPr>
          <w:p>
            <w:r>
              <w:rPr>
                <w:b/>
              </w:rPr>
            </w:r>
            <w:r>
              <w:rPr>
                <w:b/>
                <w:sz w:val="16"/>
              </w:rPr>
              <w:t>All rules (%)</w:t>
            </w:r>
          </w:p>
        </w:tc>
        <w:tc>
          <w:tcPr>
            <w:tcW w:type="dxa" w:w="1560"/>
            <w:shd w:val="clear" w:color="auto" w:fill="E3EEFB"/>
          </w:tcPr>
          <w:p>
            <w:r>
              <w:rPr>
                <w:b/>
              </w:rPr>
            </w:r>
            <w:r>
              <w:rPr>
                <w:b/>
                <w:sz w:val="16"/>
              </w:rPr>
              <w:t>WASSA SD</w:t>
            </w:r>
          </w:p>
        </w:tc>
        <w:tc>
          <w:tcPr>
            <w:tcW w:type="dxa" w:w="1560"/>
            <w:shd w:val="clear" w:color="auto" w:fill="E3EEFB"/>
          </w:tcPr>
          <w:p>
            <w:r>
              <w:rPr>
                <w:b/>
              </w:rPr>
            </w:r>
            <w:r>
              <w:rPr>
                <w:b/>
                <w:sz w:val="16"/>
              </w:rPr>
              <w:t>Source</w:t>
            </w:r>
          </w:p>
        </w:tc>
      </w:tr>
      <w:tr>
        <w:tc>
          <w:tcPr>
            <w:tcW w:type="dxa" w:w="1560"/>
          </w:tcPr>
          <w:p>
            <w:r/>
            <w:r>
              <w:rPr>
                <w:sz w:val="16"/>
              </w:rPr>
              <w:t>Initial pipeline (no retrieval)</w:t>
            </w:r>
          </w:p>
        </w:tc>
        <w:tc>
          <w:tcPr>
            <w:tcW w:type="dxa" w:w="1560"/>
          </w:tcPr>
          <w:p>
            <w:r/>
            <w:r>
              <w:rPr>
                <w:sz w:val="16"/>
              </w:rPr>
              <w:t>70.33</w:t>
            </w:r>
          </w:p>
        </w:tc>
        <w:tc>
          <w:tcPr>
            <w:tcW w:type="dxa" w:w="1560"/>
          </w:tcPr>
          <w:p>
            <w:r/>
            <w:r>
              <w:rPr>
                <w:sz w:val="16"/>
              </w:rPr>
              <w:t>87.33</w:t>
            </w:r>
          </w:p>
        </w:tc>
        <w:tc>
          <w:tcPr>
            <w:tcW w:type="dxa" w:w="1560"/>
          </w:tcPr>
          <w:p>
            <w:r/>
            <w:r>
              <w:rPr>
                <w:sz w:val="16"/>
              </w:rPr>
              <w:t>63.67</w:t>
            </w:r>
          </w:p>
        </w:tc>
        <w:tc>
          <w:tcPr>
            <w:tcW w:type="dxa" w:w="1560"/>
          </w:tcPr>
          <w:p>
            <w:r/>
            <w:r>
              <w:rPr>
                <w:sz w:val="16"/>
              </w:rPr>
              <w:t>1.33</w:t>
            </w:r>
          </w:p>
        </w:tc>
        <w:tc>
          <w:tcPr>
            <w:tcW w:type="dxa" w:w="1560"/>
          </w:tcPr>
          <w:p>
            <w:r/>
            <w:r>
              <w:rPr>
                <w:sz w:val="16"/>
              </w:rPr>
              <w:t>result files</w:t>
            </w:r>
          </w:p>
        </w:tc>
      </w:tr>
      <w:tr>
        <w:tc>
          <w:tcPr>
            <w:tcW w:type="dxa" w:w="1560"/>
          </w:tcPr>
          <w:p>
            <w:r/>
            <w:r>
              <w:rPr>
                <w:sz w:val="16"/>
              </w:rPr>
              <w:t>RAG attempt 1 (1-2 retrieved ED examples)</w:t>
            </w:r>
          </w:p>
        </w:tc>
        <w:tc>
          <w:tcPr>
            <w:tcW w:type="dxa" w:w="1560"/>
          </w:tcPr>
          <w:p>
            <w:r/>
          </w:p>
        </w:tc>
        <w:tc>
          <w:tcPr>
            <w:tcW w:type="dxa" w:w="1560"/>
          </w:tcPr>
          <w:p>
            <w:r/>
            <w:r>
              <w:rPr>
                <w:sz w:val="16"/>
              </w:rPr>
              <w:t>76</w:t>
            </w:r>
          </w:p>
        </w:tc>
        <w:tc>
          <w:tcPr>
            <w:tcW w:type="dxa" w:w="1560"/>
          </w:tcPr>
          <w:p>
            <w:r/>
            <w:r>
              <w:rPr>
                <w:sz w:val="16"/>
              </w:rPr>
              <w:t>54.3</w:t>
            </w:r>
          </w:p>
        </w:tc>
        <w:tc>
          <w:tcPr>
            <w:tcW w:type="dxa" w:w="1560"/>
          </w:tcPr>
          <w:p>
            <w:r/>
          </w:p>
        </w:tc>
        <w:tc>
          <w:tcPr>
            <w:tcW w:type="dxa" w:w="1560"/>
          </w:tcPr>
          <w:p>
            <w:r/>
            <w:r>
              <w:rPr>
                <w:sz w:val="16"/>
              </w:rPr>
              <w:t>recorded in Full_Project_Documentation (outputs overwritten by attempt 2)</w:t>
            </w:r>
          </w:p>
        </w:tc>
      </w:tr>
      <w:tr>
        <w:tc>
          <w:tcPr>
            <w:tcW w:type="dxa" w:w="1560"/>
          </w:tcPr>
          <w:p>
            <w:r/>
            <w:r>
              <w:rPr>
                <w:sz w:val="16"/>
              </w:rPr>
              <w:t>RAG attempt 2 (+ single-question filter + reminder)</w:t>
            </w:r>
          </w:p>
        </w:tc>
        <w:tc>
          <w:tcPr>
            <w:tcW w:type="dxa" w:w="1560"/>
          </w:tcPr>
          <w:p>
            <w:r/>
            <w:r>
              <w:rPr>
                <w:sz w:val="16"/>
              </w:rPr>
              <w:t>57</w:t>
            </w:r>
          </w:p>
        </w:tc>
        <w:tc>
          <w:tcPr>
            <w:tcW w:type="dxa" w:w="1560"/>
          </w:tcPr>
          <w:p>
            <w:r/>
            <w:r>
              <w:rPr>
                <w:sz w:val="16"/>
              </w:rPr>
              <w:t>78</w:t>
            </w:r>
          </w:p>
        </w:tc>
        <w:tc>
          <w:tcPr>
            <w:tcW w:type="dxa" w:w="1560"/>
          </w:tcPr>
          <w:p>
            <w:r/>
            <w:r>
              <w:rPr>
                <w:sz w:val="16"/>
              </w:rPr>
              <w:t>43.67</w:t>
            </w:r>
          </w:p>
        </w:tc>
        <w:tc>
          <w:tcPr>
            <w:tcW w:type="dxa" w:w="1560"/>
          </w:tcPr>
          <w:p>
            <w:r/>
            <w:r>
              <w:rPr>
                <w:sz w:val="16"/>
              </w:rPr>
              <w:t>1.46</w:t>
            </w:r>
          </w:p>
        </w:tc>
        <w:tc>
          <w:tcPr>
            <w:tcW w:type="dxa" w:w="1560"/>
          </w:tcPr>
          <w:p>
            <w:r/>
            <w:r>
              <w:rPr>
                <w:sz w:val="16"/>
              </w:rPr>
              <w:t>result files</w:t>
            </w:r>
          </w:p>
        </w:tc>
      </w:tr>
    </w:tbl>
    <w:p/>
    <w:p>
      <w:r>
        <w:rPr>
          <w:i/>
          <w:sz w:val="20"/>
        </w:rPr>
        <w:t>Table 4.7: Effect of retrieval augmentation on rule adherence</w:t>
      </w:r>
    </w:p>
    <w:p>
      <w:pPr>
        <w:pStyle w:val="Heading2"/>
      </w:pPr>
      <w:r>
        <w:t>4.2.6 Specification of the Selected Design</w:t>
      </w:r>
    </w:p>
    <w:p>
      <w:pPr>
        <w:spacing w:after="120"/>
      </w:pPr>
      <w:r>
        <w:rPr>
          <w:b/>
        </w:rPr>
        <w:t>Detector:</w:t>
      </w:r>
      <w:r>
        <w:t xml:space="preserve"> the detector is RoBERTa-base with a 32-way classification head, fine-tuned on first utterances with a learning rate of 2e-5, an effective batch size of 16, up to four epochs with early stopping, a warmup ratio of 0.06, weight decay of 0.01, gradient clipping at 1.0 and 16-bit mixed precision. In conversation, d1 reads the user's last four turns joined together. Conversational context is known to be important for recognising emotions in dialogue, and among the windows we tested on long conversational scenarios, four turns was best or joint best in three of four scenarios, whereas six turns degraded two scenarios because emotions from earlier turns competed with the current one.</w:t>
      </w:r>
    </w:p>
    <w:p>
      <w:pPr>
        <w:spacing w:after="120"/>
      </w:pPr>
      <w:r>
        <w:rPr>
          <w:b/>
        </w:rPr>
        <w:t>Attention cues:</w:t>
      </w:r>
      <w:r>
        <w:t xml:space="preserve"> d1 is loaded with an attention implementation that returns attention weights, because the default implementation in the Transformers library returned none in our verification. We take the attention from the first token to every other token in the final layer, averaged across attention heads, keep the highest-scoring 40% of word spans (between 3 and 14), and expand sub-word pieces to whole words.</w:t>
      </w:r>
    </w:p>
    <w:p>
      <w:pPr>
        <w:spacing w:after="120"/>
      </w:pPr>
      <w:r>
        <w:rPr>
          <w:b/>
        </w:rPr>
        <w:t>Stage 1: emotion selection:</w:t>
      </w:r>
      <w:r>
        <w:t xml:space="preserve"> Phi-4-mini receives the user's message and the three candidate emotions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output does not name one of the candidates, the system falls back to d1's most probable emotion; in simulation, every output named a valid candidate.</w:t>
      </w:r>
    </w:p>
    <w:p>
      <w:pPr>
        <w:spacing w:after="120"/>
      </w:pPr>
      <w:r>
        <w:rPr>
          <w:b/>
        </w:rPr>
        <w:t>Stage 2: generation:</w:t>
      </w:r>
      <w:r>
        <w:t xml:space="preserve"> the system prompt combines, in order, the chosen emotion, the cue words, emotion-specific guidance on what to focus on and what to avoid, and the three universal rules. For example, for </w:t>
      </w:r>
      <w:r>
        <w:rPr>
          <w:i/>
        </w:rPr>
        <w:t>lonely</w:t>
      </w:r>
      <w:r>
        <w:t xml:space="preserve"> the prompt instructs the model to "acknowledge the isolation itself, gently - the weight of it, not just 'you seem sad'" and not to "offer a surface-level fix like 'go meet people'", followed by the rules to acknowledge and validate the feeling in two to three sentences, share a reassuring thought specific to that feeling, and ask exactly one short, gentle question at the end, all within 100 words. Guidance of this kind was written for all 32 emotions </w:t>
      </w:r>
      <w:r>
        <w:rPr>
          <w:b/>
          <w:color w:val="B03A00"/>
        </w:rPr>
        <w:t>[[TEAM TO FILL: name the source document from which the per-emotion guidance was adapted]]</w:t>
      </w:r>
      <w:r>
        <w:t>. Phi-4-mini is loaded with 4-bit NF4 quantisation, double quantisation and 16-bit computation [23], and samples with temperature 0.7 and top-p 0.9, up to 250 new tokens.</w:t>
      </w:r>
    </w:p>
    <w:p>
      <w:pPr>
        <w:spacing w:after="120"/>
      </w:pPr>
      <w:r>
        <w:rPr>
          <w:b/>
        </w:rPr>
        <w:t>Conversation memory:</w:t>
      </w:r>
      <w:r>
        <w:t xml:space="preserve"> the generator receives the last ten exchanges verbatim. From the second turn onward, the question becomes optional and the model is asked not to reuse earlier phrasing, so that a multi-turn conversation does not become an interrogation. The first turn keeps the original rules, so single-turn results remain comparable.</w:t>
      </w:r>
    </w:p>
    <w:p>
      <w:pPr>
        <w:spacing w:after="120"/>
      </w:pPr>
      <w:r>
        <w:t>Section 4.2.7 justifies each of these settings.</w:t>
      </w:r>
    </w:p>
    <w:p>
      <w:pPr>
        <w:pStyle w:val="Heading2"/>
      </w:pPr>
      <w:r>
        <w:t>4.2.7 Justification of Parameter Choices</w:t>
      </w:r>
    </w:p>
    <w:p>
      <w:pPr>
        <w:spacing w:after="120"/>
      </w:pPr>
      <w:r>
        <w:t>Every parameter of the final design, the baselines and the evaluation was fixed before the final comparison and is justified in Table 4.8 by one of three kinds of evidence: published practice, a measurement on our own data, or an explicit design or hardware constraint. Settings that were not tuned are identified as such.</w:t>
      </w:r>
    </w:p>
    <w:p>
      <w:pPr>
        <w:spacing w:after="120"/>
      </w:pPr>
      <w:r>
        <w:rPr>
          <w:b/>
        </w:rPr>
        <w:t>Detector:</w:t>
      </w:r>
      <w:r>
        <w:t xml:space="preserve"> the learning rate of 2e-5, effective batch size of 16 and limit of four epochs lie within the fine-tuning ranges recommended for BERT and used for RoBERTa, and the 6% linear warm-up follows RoBERTa's fine-tuning setting; without warm-up, our RoBERTa-large run diverged to 5.0% accuracy. The best checkpoint is selected by validation accuracy with early stopping, which prevents over-fitting. The maximum input length of 128 tokens covers 99.7% of first utterances, whose mean length is 46.5 tokens.</w:t>
      </w:r>
    </w:p>
    <w:p>
      <w:pPr>
        <w:spacing w:after="120"/>
      </w:pPr>
      <w:r>
        <w:rPr>
          <w:b/>
        </w:rPr>
        <w:t>Generator:</w:t>
      </w:r>
      <w:r>
        <w:t xml:space="preserve"> four-bit NF4 quantisation preserves the quality of 16-bit models while reducing memory about fourfold; the final system's measured peak use is 3.40 GB. Sampling uses nucleus sampling with top-p 0.9, which avoids the repetitive, degenerate text produced by greedy or beam decoding [47], and a temperature of 0.7, the developer's default for Qwen2.5-Instruct. These values are identical for every system, so that differences between systems arise from their design rather than from decoding. The limit of 250 new tokens is well above the prompt's request for under 100 words: the longest final-system reply is 119 tokens, so no reply is truncated. Passing the three most probable emotions to stage 1 is justified by the detector's accuracy: the true emotion is among the top three in 76.5% of messages, against 50.3% for the top prediction.</w:t>
      </w:r>
    </w:p>
    <w:p>
      <w:pPr>
        <w:spacing w:after="120"/>
      </w:pPr>
      <w:r>
        <w:rPr>
          <w:b/>
        </w:rPr>
        <w:t>Conversational agent:</w:t>
      </w:r>
      <w:r>
        <w:t xml:space="preserve"> the detector reads the last four user turns because conversational context matters for emotion recognition, and four turns performed best or joint best in three of four long test scenarios. The generator keeps the last ten exchanges verbatim, a design choice that avoids losing emotional detail through summarisation.</w:t>
      </w:r>
    </w:p>
    <w:p>
      <w:pPr>
        <w:spacing w:after="120"/>
      </w:pPr>
      <w:r>
        <w:rPr>
          <w:b/>
        </w:rPr>
        <w:t>LoRA baseline:</w:t>
      </w:r>
      <w:r>
        <w:t xml:space="preserve"> the corrected monolithic baseline uses rank 16 and alpha 32 on the attention projections, following the observation that low ranks suffice to adapt attention weights, together with a learning rate of 2e-4, dropout of 0.1 and weight decay of 0.01, the values used for LoRA fine-tuning of GPT-2 and for QLoRA on models of up to 13 billion parameters. Its padding token is Qwen's own end-of-text token: using the end-of-turn token as padding, as in the original run, removes that token from the loss and the model never learns to stop (Section 5.3.5).</w:t>
      </w:r>
    </w:p>
    <w:p>
      <w:pPr>
        <w:spacing w:after="120"/>
      </w:pPr>
      <w:r>
        <w:rPr>
          <w:b/>
        </w:rPr>
        <w:t>Evaluation:</w:t>
      </w:r>
      <w:r>
        <w:t xml:space="preserve"> AI judges score at temperature 0 on 64 conversations, the shortest and longest message for each emotion, which covers every emotion within the free tier's daily limit; the judges come from developers unrelated to our models. Paired comparisons use McNemar's exact test and the Wilcoxon signed-rank test, confidence intervals use 10,000 bootstrap resamples, above the 1,000 recommended for percentile intervals, and the Holm procedure controls the family-wise error rate with more power than a Bonferroni correction.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4.3)</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5.4)</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4.5)</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5.19)</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13 items (11 scored + 2 attention checks), 3-way forced choice</w:t>
            </w:r>
          </w:p>
        </w:tc>
        <w:tc>
          <w:tcPr>
            <w:tcW w:type="dxa" w:w="1872"/>
          </w:tcPr>
          <w:p>
            <w:r/>
            <w:r>
              <w:rPr>
                <w:sz w:val="16"/>
              </w:rPr>
              <w:t>Keeps the form short enough to avoid rater fatigue; preference judgements follow comparable studies</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r>
        <w:rPr>
          <w:i/>
          <w:sz w:val="20"/>
        </w:rPr>
        <w:t>Table 4.8: Every parameter used in this work, its value, justification and evidence</w:t>
      </w:r>
    </w:p>
    <w:p>
      <w:pPr>
        <w:pStyle w:val="Heading2"/>
      </w:pPr>
      <w:r>
        <w:t>4.2.8 Simulation and Verification</w:t>
      </w:r>
    </w:p>
    <w:p>
      <w:pPr>
        <w:spacing w:after="120"/>
      </w:pPr>
      <w:r>
        <w:t>Each alternative was functionally verified before full evaluation. Small trial runs confirmed that outputs were well formed and that model-specific details were handled correctly: Phi-4-mini uses an end-of-turn token different from its end-of-text token, Gemma's chat template has no system role, and Phi-4-mini combines its attention projections into a single layer. Every generation design was then simulated on the same 300 held-out conversations with identical decoding settings, and every detector candidate on the full test partition of 2,542 conversations. Two automatic safeguards protect the selected design: execution stops if the detector returns no attention weights, and the outcome of every stage-1 decision is recorded, all of which parsed successfully. The results of these simulations determined the selections described above and are analysed in full in Chapter 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