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 blind two-judge LLM panel and a human forced-choice study, using paired tests with Holm correction. The decoupled system (4.0B parameters) is significantly more empathetic and emotionally faithful than a 1.5B single model, but a 7.6B single model remains stronger on rule adherence and empathy.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 blind LLM-judge panel and human preference)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derived from supportive-listening practice: it (R1) acknowledges the feeling, (R2) asks exactly one question and (R3) stays within 120 words. The rules make over-questioning measurable: a model fine-tuned end to end on ED listener replies asks 7.07 questions per reply (Section V).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[18]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[19] (3.8B) loaded with 4-bit NF4 quantisation [20]. It was selected in a bake-off against Qwen2.5-1.5B [21]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[22].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[23]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[24],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xml:space="preserve">: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 (5) </w:t>
      </w:r>
      <w:r>
        <w:rPr>
          <w:rFonts w:ascii="Times New Roman" w:hAnsi="Times New Roman"/>
          <w:i/>
          <w:sz w:val="20"/>
        </w:rPr>
        <w:t>Human evaluation</w:t>
      </w:r>
      <w:r>
        <w:rPr>
          <w:rFonts w:ascii="Times New Roman" w:hAnsi="Times New Roman"/>
          <w:sz w:val="20"/>
        </w:rPr>
        <w:t>: a three-way forced choice between our system and the two single models on 13 situations, including two attention checks.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[25], the Wilcoxon signed-rank test for scores [26] and 95% bootstrap confidence intervals from 10,000 resamples [27]. P-values are Holm-corrected [28]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[29] and Hugging Face Transformers [30]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0.0</w:t>
            </w:r>
          </w:p>
        </w:tc>
        <w:tc>
          <w:tcPr>
            <w:tcW w:type="dxa" w:w="844"/>
          </w:tcPr>
          <w:p>
            <w:pPr>
              <w:spacing w:before="0" w:after="0" w:line="240" w:lineRule="auto"/>
              <w:ind w:firstLine="0"/>
              <w:jc w:val="center"/>
            </w:pPr>
            <w:r/>
            <w:r>
              <w:rPr>
                <w:rFonts w:ascii="Times New Roman" w:hAnsi="Times New Roman"/>
                <w:sz w:val="16"/>
              </w:rPr>
              <w:t>1.7</w:t>
            </w:r>
          </w:p>
        </w:tc>
        <w:tc>
          <w:tcPr>
            <w:tcW w:type="dxa" w:w="603"/>
          </w:tcPr>
          <w:p>
            <w:pPr>
              <w:spacing w:before="0" w:after="0" w:line="240" w:lineRule="auto"/>
              <w:ind w:firstLine="0"/>
              <w:jc w:val="center"/>
            </w:pPr>
            <w:r/>
            <w:r>
              <w:rPr>
                <w:rFonts w:ascii="Times New Roman" w:hAnsi="Times New Roman"/>
                <w:sz w:val="16"/>
              </w:rPr>
              <w:t>200.7</w:t>
            </w:r>
          </w:p>
        </w:tc>
        <w:tc>
          <w:tcPr>
            <w:tcW w:type="dxa" w:w="603"/>
          </w:tcPr>
          <w:p>
            <w:pPr>
              <w:spacing w:before="0" w:after="0" w:line="240" w:lineRule="auto"/>
              <w:ind w:firstLine="0"/>
              <w:jc w:val="center"/>
            </w:pPr>
            <w:r/>
            <w:r>
              <w:rPr>
                <w:rFonts w:ascii="Times New Roman" w:hAnsi="Times New Roman"/>
                <w:sz w:val="16"/>
              </w:rPr>
              <w:t>4.19</w:t>
            </w:r>
          </w:p>
        </w:tc>
        <w:tc>
          <w:tcPr>
            <w:tcW w:type="dxa" w:w="964"/>
          </w:tcPr>
          <w:p>
            <w:pPr>
              <w:spacing w:before="0" w:after="0" w:line="240" w:lineRule="auto"/>
              <w:ind w:firstLine="0"/>
              <w:jc w:val="center"/>
            </w:pPr>
            <w:r/>
            <w:r>
              <w:rPr>
                <w:rFonts w:ascii="Times New Roman" w:hAnsi="Times New Roman"/>
                <w:sz w:val="16"/>
              </w:rPr>
              <w:t>20.0</w:t>
            </w:r>
          </w:p>
        </w:tc>
        <w:tc>
          <w:tcPr>
            <w:tcW w:type="dxa" w:w="603"/>
          </w:tcPr>
          <w:p>
            <w:pPr>
              <w:spacing w:before="0" w:after="0" w:line="240" w:lineRule="auto"/>
              <w:ind w:firstLine="0"/>
              <w:jc w:val="center"/>
            </w:pPr>
            <w:r/>
            <w:r>
              <w:rPr>
                <w:rFonts w:ascii="Times New Roman" w:hAnsi="Times New Roman"/>
                <w:sz w:val="16"/>
              </w:rPr>
              <w:t>3.44</w:t>
            </w:r>
          </w:p>
        </w:tc>
        <w:tc>
          <w:tcPr>
            <w:tcW w:type="dxa" w:w="603"/>
          </w:tcPr>
          <w:p>
            <w:pPr>
              <w:spacing w:before="0" w:after="0" w:line="240" w:lineRule="auto"/>
              <w:ind w:firstLine="0"/>
              <w:jc w:val="center"/>
            </w:pPr>
            <w:r/>
            <w:r>
              <w:rPr>
                <w:rFonts w:ascii="Times New Roman" w:hAnsi="Times New Roman"/>
                <w:sz w:val="16"/>
              </w:rPr>
              <w:t>4.44</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w:t>
            </w:r>
          </w:p>
        </w:tc>
        <w:tc>
          <w:tcPr>
            <w:tcW w:type="dxa" w:w="603"/>
          </w:tcPr>
          <w:p>
            <w:pPr>
              <w:spacing w:before="0" w:after="0" w:line="240" w:lineRule="auto"/>
              <w:ind w:firstLine="0"/>
              <w:jc w:val="center"/>
            </w:pPr>
            <w:r/>
            <w:r>
              <w:rPr>
                <w:rFonts w:ascii="Times New Roman" w:hAnsi="Times New Roman"/>
                <w:sz w:val="16"/>
              </w:rPr>
              <w:t>-</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reproduces the questioning habit of ED listeners, averaging 7.07 questions and 200.7 words per reply, and fails every rule. Retrieval augmentation lowered the initial pipeline's rule adherence from 63.7% to 43.7%, likely because the retrieved human replies model the multi-question behaviour that the rules prohibit.</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[31]. Because those models predict emotion as an auxiliary task, this comparison supports the use of a dedicated detector rather than claiming better generation.</w:t>
      </w:r>
    </w:p>
    <w:p>
      <w:pPr>
        <w:spacing w:before="120" w:after="60" w:line="240" w:lineRule="auto"/>
        <w:ind w:firstLine="0"/>
        <w:jc w:val="left"/>
      </w:pPr>
      <w:r>
        <w:rPr>
          <w:rFonts w:ascii="Times New Roman" w:hAnsi="Times New Roman"/>
          <w:i/>
          <w:sz w:val="20"/>
        </w:rPr>
        <w:t>E. Judge Agreement and Human Evaluation</w:t>
      </w:r>
    </w:p>
    <w:p>
      <w:pPr>
        <w:spacing w:before="0" w:after="0" w:line="240" w:lineRule="auto"/>
        <w:ind w:firstLine="180"/>
        <w:jc w:val="both"/>
      </w:pPr>
      <w:r>
        <w:rPr>
          <w:rFonts w:ascii="Times New Roman" w:hAnsi="Times New Roman"/>
          <w:sz w:val="20"/>
        </w:rPr>
        <w:t xml:space="preserve">The two judges agree with each other at Spearman ρ = 0.73 for empathy and 0.74 overall across 448 replies, and rank the seven systems identically except for exchanging our system and top-1 Phi, whose scores differ by 0.03. At the system level, WASSA ranks the seven systems in nearly the same order as the judges (ρ = 0.96). </w:t>
      </w:r>
      <w:r>
        <w:rPr>
          <w:rFonts w:ascii="Times New Roman" w:hAnsi="Times New Roman"/>
          <w:sz w:val="20"/>
          <w:highlight w:val="yellow"/>
        </w:rPr>
        <w:t>PENDING: human evaluation results: number of valid participants after attention checks; selection rate of each system against chance (33.3%) with binomial tests; Fleiss' kappa; agreement between the human majority choice and the judges' top system.</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Evaluation covers single turns in English.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[32]. </w:t>
      </w:r>
      <w:r>
        <w:rPr>
          <w:rFonts w:ascii="Times New Roman" w:hAnsi="Times New Roman"/>
          <w:sz w:val="20"/>
          <w:highlight w:val="yellow"/>
        </w:rPr>
        <w:t>PENDING: statement on consent and anonymity of human-evaluation participants.</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[19]</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[20]</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[21]</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[22]</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[23]</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[24]</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[25]</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[26]</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[27]</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[28]</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[29]</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[30]</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[31]</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[32]</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