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6: Conclusion and Future Work</w:t>
      </w:r>
    </w:p>
    <w:p>
      <w:pPr>
        <w:pStyle w:val="Heading1"/>
      </w:pPr>
      <w:r>
        <w:t>6.1 Summary of Findings</w:t>
      </w:r>
    </w:p>
    <w:p>
      <w:pPr>
        <w:spacing w:after="120"/>
      </w:pPr>
      <w:r>
        <w:t>The objective of this research was to build an empathetic response system that separates emotion detection from response generation, to run the whole of it inside the 8 GB of an ordinary consumer graphics card, and to establish by measurement whether that separation is worth its extra component. The answer, from 4,200 scored replies across fourteen configurations, is a qualified yes, and the qualification is reported as plainly as the support.</w:t>
      </w:r>
    </w:p>
    <w:p>
      <w:pPr>
        <w:spacing w:after="120"/>
      </w:pPr>
      <w:r>
        <w:t xml:space="preserve">The work divides into two parts. The first built the detector. Five encoders and decoders were trained under identical conditions, and RoBERTa-base was selected: 50.3% top-1 accuracy over the 32 emotions of EmpatheticDialogues and 84.3% within its top five, above every jointly trained model published on this corpus. Two findings matter more than that number. The detector's mistakes are almost all near neighbours, </w:t>
      </w:r>
      <w:r>
        <w:rPr>
          <w:i/>
        </w:rPr>
        <w:t>afraid</w:t>
      </w:r>
      <w:r>
        <w:t xml:space="preserve"> read as </w:t>
      </w:r>
      <w:r>
        <w:rPr>
          <w:i/>
        </w:rPr>
        <w:t>terrified</w:t>
      </w:r>
      <w:r>
        <w:t xml:space="preserve"> or </w:t>
      </w:r>
      <w:r>
        <w:rPr>
          <w:i/>
        </w:rPr>
        <w:t>sad</w:t>
      </w:r>
      <w:r>
        <w:t xml:space="preserve"> as </w:t>
      </w:r>
      <w:r>
        <w:rPr>
          <w:i/>
        </w:rPr>
        <w:t>devastated</w:t>
      </w:r>
      <w:r>
        <w:t>, so a reply built on a wrong label is rarely built on the wrong kind of feeling; and what it is trained on matters more than which network is chosen, since training on the corpus's situation descriptions while deploying on the user's own message cost about nine points. Passing three candidate emotions rather than one follows from both.</w:t>
      </w:r>
    </w:p>
    <w:p>
      <w:pPr>
        <w:spacing w:after="120"/>
      </w:pPr>
      <w:r>
        <w:t>The second part built and tested the pipeline. Three generators were compared with the detector and the prompt held fixed, and five ways of connecting the two models were measured against each other. The selected design, in which Phi-4-mini first chooses among the detector's three candidates and then writes under per-emotion guidance, places second of the eight systems on the combined empathy panel, at +0.59 against +1.11 for a single model almost twice its size. Two comparisons carry the argument. The same generator prompted alone scores +0.53, so the gain comes from the design and not from the size of the generator; and the system expresses the speaker's true emotion in 36.7% of replies, the highest of the twelve systems measured and 11.0 points above a single model of comparable scale. It does this in 3.40 GB of peak memory with 3.96 billion parameters and 4.17 seconds per reply: 38% less memory than a single model with 1.9 times the parameters, at no significant cost in response time.</w:t>
      </w:r>
    </w:p>
    <w:p>
      <w:pPr>
        <w:spacing w:after="120"/>
      </w:pPr>
      <w:r>
        <w:t>Four findings limit the claim. The largest single model remains ahead on the empathy panel, so a deployment with the hardware to run a 7-billion-parameter model and no need for an auditable emotional decision should use one. Our system follows its own three response rules in 60.0% of replies against 73.7% for the same generator alone, because the rules share prompt space with the emotional guidance. The two model judges on their own do not separate the two configurations, so the case rests on the empathy classifier, emotional fidelity, lower repetition and the visible decision rather than on judge preference. And replacing the detector with a more accurate one, three points better on the same test, changed no measure of reply quality at all, which means the detector was not the limiting component.</w:t>
      </w:r>
    </w:p>
    <w:p>
      <w:pPr>
        <w:pStyle w:val="Heading1"/>
      </w:pPr>
      <w:r>
        <w:t>6.2 Contributions to the Field</w:t>
      </w:r>
    </w:p>
    <w:p>
      <w:pPr>
        <w:spacing w:after="120"/>
      </w:pPr>
      <w:r>
        <w:t>This research makes six contributions. First, and most importantly, it provides a measured account of what a decoupled design buys and what it costs at a scale where the choice actually matters. Pairing a small emotion model with a large language model has been proposed before, but not evaluated under a hardware ceiling against single models of both comparable and larger size, which is the comparison someone deciding how to build such a system actually needs.</w:t>
      </w:r>
    </w:p>
    <w:p>
      <w:pPr>
        <w:spacing w:after="120"/>
      </w:pPr>
      <w:r>
        <w:t>Second, it records negative results that should save other researchers effort. Substituting a detector with three points more accuracy improved no measure of the reply, which indicates that the detector's value is in the structure it supplies rather than in the precision of its label, and that further accuracy is not where the remaining gains lie. In the same spirit, retrieval augmentation, added on the reasonable expectation that related passages would help, reduced rule adherence from 63.7% to 43.7% and improved nothing.</w:t>
      </w:r>
    </w:p>
    <w:p>
      <w:pPr>
        <w:spacing w:after="120"/>
      </w:pPr>
      <w:r>
        <w:t>Third, it makes the emotional decision auditable. Every reply carries the three candidate emotions with their confidence, the emotion chosen from them, and the words that drove the detection. An end-to-end model can produce a comparable reply but cannot report what it answered, which leaves nowhere to attach a safeguard and nothing to inspect when a reply is wrong: in a sensitive domain, a difference in kind rather than degree.</w:t>
      </w:r>
    </w:p>
    <w:p>
      <w:pPr>
        <w:spacing w:after="120"/>
      </w:pPr>
      <w:r>
        <w:t>Fourth, it offers an evaluation design that other work on this task can reuse. Rather than resting on similarity to a single reference reply, it combines three things: explicit checks on what a supportive reply must do, an empathy panel that places two model judges from different developers alongside a classifier trained directly on human ratings, and paired statistical testing with correction for multiple comparisons, so that a difference is reported as real only when both the adjusted test and the confidence interval agree.</w:t>
      </w:r>
    </w:p>
    <w:p>
      <w:pPr>
        <w:spacing w:after="120"/>
      </w:pPr>
      <w:r>
        <w:t>Fifth, it delivers a working multi-turn conversational agent rather than a benchmark entry, with a measured context window for the detector, a separate memory for the generator, and rules that relax after the first turn so that the exchange does not become an interrogation.</w:t>
      </w:r>
    </w:p>
    <w:p>
      <w:pPr>
        <w:spacing w:after="120"/>
      </w:pPr>
      <w:r>
        <w:t>Sixth, it documents the practical failures that a reproduction would otherwise repeat, including a fine-tuning defect in which using the wrong padding token prevents the model from learning to stop, and an attention implementation that silently returns no weights at all.</w:t>
      </w:r>
    </w:p>
    <w:p>
      <w:pPr>
        <w:pStyle w:val="Heading1"/>
      </w:pPr>
      <w:r>
        <w:t>6.3 Limitations</w:t>
      </w:r>
    </w:p>
    <w:p>
      <w:pPr>
        <w:spacing w:after="120"/>
      </w:pPr>
      <w:r>
        <w:t>Seven limitations bound these conclusions, set out in full in Section 5.6.5. The corpus is English, crowd-sourced and carries one label per conversation, so nothing here should be assumed to hold for Bangla speakers or for people in genuine distress. The label set contains no category for suicidal ideation and the system has no crisis safeguard. Every automatic measure is a proxy: the acknowledgement check looks for keywords, the empathy classifier was trained in a different domain and rewards length, and emotional fidelity is scored by our own detector. The evidence rests on 300 conversations, 64 of them seen by the judges, and a small human study. The quantitative results all concern first replies, the multi-turn agent having been checked on scenarios rather than measured. Repetition remains high at 58.7% of replies. And the cost figures come from one graphics card over 50 messages.</w:t>
      </w:r>
    </w:p>
    <w:p>
      <w:pPr>
        <w:pStyle w:val="Heading1"/>
      </w:pPr>
      <w:r>
        <w:t>6.4 Recommendations for Future Work</w:t>
      </w:r>
    </w:p>
    <w:p>
      <w:pPr>
        <w:spacing w:after="120"/>
      </w:pPr>
      <w:r>
        <w:rPr>
          <w:b/>
        </w:rPr>
        <w:t>Immediate extensions:</w:t>
      </w:r>
      <w:r>
        <w:t xml:space="preserve"> A crisis filter that inspects the message before generation and answers from reviewed safe responses is required before this system is put in front of anyone, and it is the first piece of work we recommend [52]. Next is a component-wise ablation separating the three things the pipeline supplies at once, the emotion choice, the per-emotion guidance and the attention cues, so that the contribution of each is known rather than inferred. The rule-adherence gap should be closed by checking and repairing the reply after it is written instead of asking the prompt to carry both the rules and the guidance, and repetition should be controlled at decoding time; both were deliberately deferred here so that the evaluated outputs stayed fixed.</w:t>
      </w:r>
    </w:p>
    <w:p>
      <w:pPr>
        <w:spacing w:after="120"/>
      </w:pPr>
      <w:r>
        <w:rPr>
          <w:b/>
        </w:rPr>
        <w:t>Beyond English:</w:t>
      </w:r>
      <w:r>
        <w:t xml:space="preserve"> The decoupled structure is an advantage here, because a new language needs a new detector and new guidance but not a new generator, and the detector is only 125 million parameters. Three steps follow: collect or adapt labelled emotional conversations in Bangla, including the code-mixed Bangla-English that people here actually type; retrain the detector from a multilingual encoder; and rewrite the per-emotion guidance with speakers of the language, since how loneliness or shame should be answered is not the same everywhere and a translated prompt would carry English assumptions into it. Published work on low-resource emotion classification suggests the detector is where the difficulty will concentrate [20].</w:t>
      </w:r>
    </w:p>
    <w:p>
      <w:pPr>
        <w:spacing w:after="120"/>
      </w:pPr>
      <w:r>
        <w:rPr>
          <w:b/>
        </w:rPr>
        <w:t>Stronger evaluation:</w:t>
      </w:r>
      <w:r>
        <w:t xml:space="preserve"> The measurements should extend from single replies to whole conversations judged by people rather than by scenarios, and the human study should be repeated at a size that supports statistical testing, preferably with mental-health professionals among the raters. The empathy panel would be stronger with more members, and the cost figures should be repeated on other hardware, including machines without a graphics card, since the case for this design is a case about deployment.</w:t>
      </w:r>
    </w:p>
    <w:p>
      <w:pPr>
        <w:spacing w:after="120"/>
      </w:pPr>
      <w:r>
        <w:rPr>
          <w:b/>
        </w:rPr>
        <w:t>Final remarks:</w:t>
      </w:r>
      <w:r>
        <w:t xml:space="preserve"> The value of this work does not lie in a new record on a benchmark, and it was not built to obtain one. It lies in showing, by measurement rather than argument, that a system assembled from a small specialised model and a modest general one can be more emotionally responsive than a single model of the same size, can run on hardware a student already owns so that a person's disclosure never leaves their machine, and can show exactly what it understood before it answers. As capable open models continue to become smaller, how to arrange them will matter more than how large to make them, and a design whose emotional reasoning can be inspected, corrected and replaced one part at a time is what a sensitive application will require.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