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while its rule adherence is statistically indistinguishable from that of a same-size single model after correction for multiple comparisons. </w:t>
      </w:r>
      <w:r>
        <w:rPr>
          <w:b/>
        </w:rPr>
        <w:t>A larger single model, however, outperforms it</w:t>
      </w:r>
      <w:r>
        <w:t xml:space="preserve"> in rule adherence and empathy, although the AI judges' overall scores for the two do not differ significantly after correction (8.90 against 8.68).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parameter-efficient</w:t>
      </w:r>
      <w:r>
        <w:t xml:space="preserve">, reaching 97.5% of the larger model's overall AI-judge score with 52% of its parameters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model the multi-question behaviour that the rules are intended to prevent.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AI-judge empathy (8.15 against 7.84).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The WASSA classifier was trained on peer discussions of news articles, produces coarse classes and rewards length [14]. Emotion validation relies on our own detector. AI judges may favour longer answers [13], and the planned three-judge panel was reduced to two judges when one became unavailable, although the two panels agree closely on the systems both scored.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w:t>
      </w:r>
      <w:r>
        <w:t xml:space="preserve"> Inference latency and memory use were not measured.</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inference latency and memory use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