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2"/>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[1] and the counselling guidance against asking several questions at once [37], whose validity is examined in Section 5.5.8; and (iii) to run all components on a single 8 GB consumer GPU without sending user messages to an external service. The central design question is whether emotion detection and response generation should be performed by separate models or whether a single model suffices. The methodology is therefore constructed to test that question rather than to assume its answer.</w:t>
      </w:r>
    </w:p>
    <w:p>
      <w:pPr>
        <w:pStyle w:val="Heading2"/>
      </w:pPr>
      <w:r>
        <w:t>4.1.2 Data Acquisition and Preprocessing</w:t>
      </w:r>
    </w:p>
    <w:p>
      <w:pPr>
        <w:spacing w:after="120"/>
      </w:pPr>
      <w:r>
        <w:t xml:space="preserve">We use EmpatheticDialogues [2]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2"/>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[32].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2"/>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[24]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[23] to fit in GPU memory. All generation uses identical sampling settings (temperature 0.7, top-p 0.9, at most 250 new tokens and seed 42), so that differences between systems arise from their design rather than from decoding.</w:t>
      </w:r>
    </w:p>
    <w:p>
      <w:pPr>
        <w:pStyle w:val="Heading2"/>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[40], the Wilcoxon signed-rank test for scores [41], bootstrap confidence intervals over 10,000 resamples [42], and Holm correction for multiple comparisons [43].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3"/>
      </w:pPr>
      <w:r>
        <w:t>4.1.5.1 Selection of the AI-Judge Panel</w:t>
      </w:r>
    </w:p>
    <w:p>
      <w:pPr>
        <w:spacing w:after="120"/>
      </w:pPr>
      <w:r>
        <w:t xml:space="preserve">Using language models as evaluators is established practice: strong LLM judges agree with human preferences in more than 80% of cases [18]. They also carry known biases, and the panel was designed to counter them. First, LLM evaluators can recognise their own outputs and rate them more favourably [33].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Neither of them shares a model family with our generator, Phi-4-mini (Microsoft) [21], or with the Qwen baselines (Alibaba) [22]. Second, a panel of judges from different model families shows less bias than a single large judge [19], so the panel score is the mean of the two judges rather than the rating of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Both judges were available through free API tiers, which allowed team members without a GPU to run the evaluation. Several other flagship models were considered and could not be used because they were retired or restricted during the project (Section 3.7), so the panel was fixed at these two, </w:t>
      </w:r>
      <w:r>
        <w:rPr>
          <w:b/>
        </w:rPr>
        <w:t>which scored every reply of every judged system</w:t>
      </w:r>
      <w:r>
        <w:t>; scores from different judges are not comparable across systems, so using the same two judges throughout is what makes the comparison fair. Table 4.1 describes the panel and Table A.1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4.1.5.2 Use of the WASSA Empathy Classifier</w:t>
      </w:r>
    </w:p>
    <w:p>
      <w:pPr>
        <w:spacing w:after="120"/>
      </w:pPr>
      <w:r>
        <w:t xml:space="preserve">As a signal independent of both the rule checks and the AI judges, we use the hyy33 system from the WASSA 2024 shared task, held at the ACL 2024 conference [17]. It suits this project for three reasons. It was trained on third-party human ratings of empathy for individual conversation turns [16], the same unit as the replies we evaluate. It is a peer-reviewed, publicly released system whose predictions correlate with human empathy ratings at r = 0.544 on the shared task's test set.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Its training conversations are peer discussions of news articles rather than supportive replies. And it outputs coarse ordinal classes. Section 5.4 shows that on our data it nearly reproduces the AI judges' ranking of systems (Spearman rho = 0.94 across the judged systems) but is too noisy to rank individual replies (Table A.7), so it is used </w:t>
      </w:r>
      <w:r>
        <w:rPr>
          <w:b/>
        </w:rPr>
        <w:t>only to compare system averages</w:t>
      </w:r>
      <w:r>
        <w:t xml:space="preserve"> over 300 conversations.</w:t>
      </w:r>
    </w:p>
    <w:p>
      <w:pPr>
        <w:pStyle w:val="Heading2"/>
      </w:pPr>
      <w:r>
        <w:t>4.1.6 Implementation Environment</w:t>
      </w:r>
    </w:p>
    <w:p>
      <w:pPr>
        <w:spacing w:after="120"/>
      </w:pPr>
      <w:r>
        <w:t>All components are implemented in Python 3.10 with PyTorch 2.5.1 [44] and Hugging Face Transformers 5.16.1 [39], using bitsandbytes for 4-bit quantisation, SciPy [45] for statistical testing and scikit-learn [46] for classification metrics. All experiments run on a single NVIDIA GeForce RTX 4060 with 8 GB of memory [34] and 16 GB of system memory (Table 4.2).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4.2: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2"/>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[21]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2"/>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4.3). This design was rejected for two reasons: it was trained on the wrong kind of text, and a left-to-right decoder is a weaker architecture for classification than a bidirectional encoder.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4.3: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4.4, Figure 4.3). BERT-base reaches 48.8% top-1 and 81.7% top-5 accuracy, ELECTRA-base 50.2% and 82.7%, and RoBERTa-base 50.1% and 85.0%. The three base-sized models are statistically tied on top-1 accuracy, but RoBERTa-base is significantly better than both of the others on top-5 accuracy (Table A.5).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5.4),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4.4: Comparison of detector models trained under identical settings</w:t>
      </w:r>
    </w:p>
    <w:p>
      <w:r>
        <w:drawing>
          <wp:inline xmlns:a="http://schemas.openxmlformats.org/drawingml/2006/main" xmlns:pic="http://schemas.openxmlformats.org/drawingml/2006/picture">
            <wp:extent cx="5486400" cy="2619563"/>
            <wp:docPr id="3" name="Picture 3"/>
            <wp:cNvGraphicFramePr>
              <a:graphicFrameLocks noChangeAspect="1"/>
            </wp:cNvGraphicFramePr>
            <a:graphic>
              <a:graphicData uri="http://schemas.openxmlformats.org/drawingml/2006/picture">
                <pic:pic>
                  <pic:nvPicPr>
                    <pic:cNvPr id="0" name="fig_d1_backbone_comparison.png"/>
                    <pic:cNvPicPr/>
                  </pic:nvPicPr>
                  <pic:blipFill>
                    <a:blip r:embed="rId11"/>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2"/>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4.5). </w:t>
      </w:r>
      <w:r>
        <w:rPr>
          <w:b/>
        </w:rPr>
        <w:t>Qwen2.5-1.5B-Instruct</w:t>
      </w:r>
      <w:r>
        <w:t xml:space="preserve"> [22],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4.5: Generator candidates with the detector, prompt and conversations held fixed</w:t>
      </w:r>
    </w:p>
    <w:p>
      <w:pPr>
        <w:pStyle w:val="Heading2"/>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4.6).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4.6: Alternative ways of passing the detector's output to the generator</w:t>
      </w:r>
    </w:p>
    <w:p>
      <w:pPr>
        <w:pStyle w:val="Heading2"/>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[24]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We also simulated a </w:t>
      </w:r>
      <w:r>
        <w:rPr>
          <w:b/>
        </w:rPr>
        <w:t>retrieval-augmented</w:t>
      </w:r>
      <w:r>
        <w:t xml:space="preserve"> variant [25] that retrieves one or two similar training conversations with the same detected emotion, using all-MiniLM-L6-v2 sentence embeddings [26], and shows them to the generator as examples. Across two versions, retrieval reduced rule adherence from 63.7% to 54.3% and then to 43.7%, so it was not adopted (Table 4.7).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4.7: Effect of retrieval augmentation on rule adherence</w:t>
      </w:r>
    </w:p>
    <w:p>
      <w:pPr>
        <w:pStyle w:val="Heading2"/>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returned none in our verification. We take the attention from the first token to every other token in the final layer,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[23],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2"/>
      </w:pPr>
      <w:r>
        <w:t>4.2.7 Justification of Parameter Choices</w:t>
      </w:r>
    </w:p>
    <w:p>
      <w:pPr>
        <w:spacing w:after="120"/>
      </w:pPr>
      <w:r>
        <w:t>Every parameter of the final design, the baselines and the evaluation was fixed before the final comparison and is justified in Table 4.8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and used for RoBERTa,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the final system's measured peak use is 3.40 GB. Sampling uses nucleus sampling with top-p 0.9, which avoids the repetitive, degenerate text produced by greedy or beam decoding [47],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together with a learning rate of 2e-4, dropout of 0.1 and weight decay of 0.01, the values used for LoRA fine-tuning of GPT-2 and for QLoRA on models of up to 13 billion parameters. Its padding token is Qwen's own end-of-text token: using the end-of-turn token as padding, as in the original run, removes that token from the loss and the model never learns to stop (Section 5.3.5).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Paired comparisons use McNemar's exact test and the Wilcoxon signed-rank test, confidence intervals use 10,000 bootstrap resamples, above the 1,000 recommended for percentile intervals, and the Holm procedure controls the family-wise error rate with more power than a Bonferroni correction.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4.3)</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5.4)</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4.5)</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5.19)</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4.8: Every parameter used in this work, its value, justification and evidence</w:t>
      </w:r>
    </w:p>
    <w:p>
      <w:pPr>
        <w:pStyle w:val="Heading2"/>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