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Final Design Adjustments</w:t>
      </w:r>
    </w:p>
    <w:p>
      <w:pPr>
        <w:pStyle w:val="IntenseQuote"/>
      </w:pPr>
      <w:r>
        <w:t>Note for the team (delete before submission): the rubric lists both this section and "Analysis of Design Solutions" as 5.2. Confirm the numbering with the supervisor; if this becomes 5.3, renumber its subsections and all later sections and cross-references.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5.12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5.12: Summary of design adjustments, the evidence behind each and its measured effect</w:t>
      </w:r>
    </w:p>
    <w:p>
      <w:pPr>
        <w:pStyle w:val="Heading1"/>
      </w:pPr>
      <w:r>
        <w:t>5.2.1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1"/>
      </w:pPr>
      <w:r>
        <w:t>5.2.2 Generator and Prompting</w:t>
      </w:r>
    </w:p>
    <w:p>
      <w:pPr>
        <w:spacing w:after="120"/>
      </w:pPr>
      <w:r>
        <w:rPr>
          <w:b/>
        </w:rPr>
        <w:t>Generator replacement (A2).</w:t>
      </w:r>
      <w:r>
        <w:t xml:space="preserve"> With the adjusted detector held fixed, the comparison of generators showed Phi-4-mini [7]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1"/>
      </w:pPr>
      <w:r>
        <w:t>5.2.3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[40]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1"/>
      </w:pPr>
      <w:r>
        <w:t>5.2.4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[46],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1"/>
      </w:pPr>
      <w:r>
        <w:t>5.2.5 Rejected and Deferred Adjustments</w:t>
      </w:r>
    </w:p>
    <w:p>
      <w:pPr>
        <w:spacing w:after="120"/>
      </w:pPr>
      <w:r>
        <w:t xml:space="preserve">Not every candidate adjustment was adopted. </w:t>
      </w:r>
      <w:r>
        <w:rPr>
          <w:b/>
        </w:rPr>
        <w:t>Retrieval augmentation (A8)</w:t>
      </w:r>
      <w:r>
        <w:t xml:space="preserve"> [11] reduced rule adherence from 63.7% to 43.7% and was rejected (Section 5.2).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4.9.</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[46]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