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5.6 Discussion</w:t>
      </w:r>
    </w:p>
    <w:p>
      <w:pPr>
        <w:pStyle w:val="IntenseQuote"/>
      </w:pPr>
      <w:r>
        <w:t>Note for the team (delete before submission): the rubric has no Section 5.5. Confirm the numbering with the supervisor. The closing paragraph must be written once the human-evaluation results are available.</w:t>
      </w:r>
    </w:p>
    <w:p>
      <w:pPr>
        <w:spacing w:after="120"/>
      </w:pPr>
      <w:r>
        <w:t>This section interprets the results as a whole: what they mean for the research question, why the unexpected results occurred, how the work answers the main objections to the design, what its limitations are, and what should follow.</w:t>
      </w:r>
    </w:p>
    <w:p>
      <w:pPr>
        <w:pStyle w:val="Heading1"/>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both the WASSA classifier and the AI judges, and significantly more faithful to the user's actual emotion.</w:t>
      </w:r>
      <w:r>
        <w:t xml:space="preserve"> A baseline that gives the final system's own generator the single-model prompt shows that these gains come from the design rather than from generator size: alone, that generator scores 4.75 on WASSA and 27.0% on emotion validation, against 5.05 and 36.7% for the decoupled system (Section 5.4.9). The cost of the design is rule adherence, which is lower than for the same generator used alone (60.0% against 73.7%). </w:t>
      </w:r>
      <w:r>
        <w:rPr>
          <w:b/>
        </w:rPr>
        <w:t>A larger single model, however, outperforms it</w:t>
      </w:r>
      <w:r>
        <w:t xml:space="preserve"> in rule adherence and empathy, although neither the AI judges' empathy nor their overall scores separate the two after correction (8.90 against 8.68 overall). The advantage of decoupling therefore does not lie in separation alone outperforming scale. It lies in what separation makes possible: an explicit and inspectable emotional decision that can be conditioned on, audited and, where necessary, intercepted. The design is also </w:t>
      </w:r>
      <w:r>
        <w:rPr>
          <w:b/>
        </w:rPr>
        <w:t>parameter- and resource-efficient</w:t>
      </w:r>
      <w:r>
        <w:t xml:space="preserve">, reaching 97.5% of the larger model's overall AI-judge score with 52% of its parameters and 38% less GPU memory, at a similar response time (Section 5.4.7), and </w:t>
      </w:r>
      <w:r>
        <w:rPr>
          <w:b/>
        </w:rPr>
        <w:t>application-oriented</w:t>
      </w:r>
      <w:r>
        <w:t>, running locally as a multi-turn agent that exposes its emotional reasoning (Section 5.6.5).</w:t>
      </w:r>
    </w:p>
    <w:p>
      <w:pPr>
        <w:pStyle w:val="Heading1"/>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[1],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 This improvement is also narrower than the design's advantage over single models: the AI judges rate the two-stage and top-1 Phi-4-mini configurations almost identically (overall 8.68 against 8.65, p = 0.71), so the benefit of the two-stage design appears in the finer measures of empathy and emotion fidelity rather than in overall judge ratings.</w:t>
      </w:r>
    </w:p>
    <w:p>
      <w:pPr>
        <w:pStyle w:val="Heading1"/>
      </w:pPr>
      <w:r>
        <w:t>5.6.3 Response to the Main Objections</w:t>
      </w:r>
    </w:p>
    <w:p>
      <w:pPr>
        <w:spacing w:after="120"/>
      </w:pPr>
      <w:r>
        <w:t>Two objections can be raised against this design: that multiple models are unnecessary, and that a simpler retrieval-based approach would do better. Both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[11] reduced rule adherence in both versions we built, from 63.7% to 54.3% and 43.7%, because real listener replies seldom follow the rules themselves (only 4.3% satisfy all three).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1"/>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the AI-judge scores (empathy 8.15 against 7.84), although the judge differences are not significant after correction.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1"/>
      </w:pPr>
      <w:r>
        <w:t>5.6.5 Application Orientation</w:t>
      </w:r>
    </w:p>
    <w:p>
      <w:pPr>
        <w:spacing w:after="120"/>
      </w:pPr>
      <w:r>
        <w:t xml:space="preserve">The system was designed to be used, not only to be evaluated on a benchmark, and four of its properties follow from that aim. </w:t>
      </w:r>
      <w:r>
        <w:rPr>
          <w:b/>
        </w:rPr>
        <w:t>Local operation.</w:t>
      </w:r>
      <w:r>
        <w:t xml:space="preserve"> Every component runs on a single consumer GPU with 8 GB of memory, so a deployed instance does not need to send a user's disclosure to an external service (Section 3.4). </w:t>
      </w:r>
      <w:r>
        <w:rPr>
          <w:b/>
        </w:rPr>
        <w:t>Multi-turn conversation.</w:t>
      </w:r>
      <w:r>
        <w:t xml:space="preserve"> The final solution is an interactive agent rather than a single-reply generator: the detector reads the user's last four turns, the generator receives the last ten exchanges, the question becomes optional after the first turn, and changes in the user's emotion are detected and followed (Section 5.2.4). </w:t>
      </w:r>
      <w:r>
        <w:rPr>
          <w:b/>
        </w:rPr>
        <w:t>Inspectability.</w:t>
      </w:r>
      <w:r>
        <w:t xml:space="preserve"> For every turn, the agent displays the three candidate emotions with their confidence, the emotion chosen, the words that drove the detection and any detected emotion shift. This audit trail, which a single end-to-end model cannot provide, allows a developer, supervisor or clinician to see why a reply adopted a particular tone and to insert a safeguard before any text is generated. </w:t>
      </w:r>
      <w:r>
        <w:rPr>
          <w:b/>
        </w:rPr>
        <w:t>Controlled and replaceable behaviour.</w:t>
      </w:r>
      <w:r>
        <w:t xml:space="preserve"> Replies stay short (all within the length limit, 57.1 words on average) and ask exactly one question in 92.7% of cases, and the detector, the emotion-specific guidance and the generator can each be replaced independently, as the RoBERTa-large substitution demonstrated. These properties make the design a practical candidate for a supportive first-line listener, for example in student well-being services, provided that the limitations below, above all the absence of a crisis safeguard, are addressed before deployment.</w:t>
      </w:r>
    </w:p>
    <w:p>
      <w:pPr>
        <w:pStyle w:val="Heading1"/>
      </w:pPr>
      <w:r>
        <w:t>5.6.6 Limitations</w:t>
      </w:r>
    </w:p>
    <w:p>
      <w:pPr>
        <w:spacing w:after="120"/>
      </w:pPr>
      <w:r>
        <w:t xml:space="preserve">This work has seven main limitations. (1) </w:t>
      </w:r>
      <w:r>
        <w:rPr>
          <w:b/>
        </w:rPr>
        <w:t>Data.</w:t>
      </w:r>
      <w:r>
        <w:t xml:space="preserve"> EmpatheticDialogues is an English, crowd-sourced corpus with a single label per conversation [1],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and the one-question rule, although supported by counselling practice, is not rewarded by either automatic empathy measure (Section 5.4.8). The WASSA classifier was trained on peer discussions of news articles, produces coarse classes and rewards length [14]. Emotion validation relies on our own detector. AI judges may favour longer answers [13], and the panel consists of two judges, which is a small panel even though both scored every reply and agree with each other (Section 5.3.7).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[29]. (7) </w:t>
      </w:r>
      <w:r>
        <w:rPr>
          <w:b/>
        </w:rPr>
        <w:t>Efficiency measurement.</w:t>
      </w:r>
      <w:r>
        <w:t xml:space="preserve"> Memory use and response time were measured on a single GPU over 50 messages, so they are indicative rather than general.</w:t>
      </w:r>
    </w:p>
    <w:p>
      <w:pPr>
        <w:pStyle w:val="Heading1"/>
      </w:pPr>
      <w:r>
        <w:t>5.6.7 Future Work</w:t>
      </w:r>
    </w:p>
    <w:p>
      <w:pPr>
        <w:spacing w:after="120"/>
      </w:pPr>
      <w:r>
        <w:t>In order of priority, future work should: (i) add a pre-generation crisis filter with reviewed safe responses, which is required before any public deployment [36];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memory use and response time on other hardware, including CPU-only and mobile devices, to inform deployment decisions.</w:t>
      </w:r>
    </w:p>
    <w:p>
      <w:pPr>
        <w:pStyle w:val="Heading1"/>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retain the framing of inspectability and control and report the result plainly.]]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