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2.3 Summary of Key Findings</w:t>
      </w:r>
    </w:p>
    <w:p>
      <w:pPr>
        <w:spacing w:after="120"/>
      </w:pPr>
      <w:r>
        <w:t>Research on empathetic response generation has moved from small models trained from scratch to large pre-trained language models. Early joint models such as MoEL, MIME and EmpDG treat emotion recognition as an auxiliary task and identify the speaker's emotion in only 30.6-31.2% of cases [20], [21], [22], [23]. Knowledge-enhanced successors, including KEMP, CEM, CASE and ESCM, raise this to 36.6-41.2% by adding commonsense and emotional knowledge [24], [2], [25], [26], and personality-aware multimodal generation reaches 45.4% on text-only EmpatheticDialogues [28]. Dedicated classifiers do better still: a fine-tuned RoBERTa model reaches 61.5% on the first utterance of each conversation [32], and fine-tuned encoders continue to outperform prompted LLMs at emotion classification [33]. On the generation side, instruction-following LLMs have changed the landscape. Human evaluators rate ChatGPT at 4.64 out of 5 for empathy against about 3.0 for the best trained models [23], and recent systems fine-tune LLMs of 7 to 72 billion parameters with knowledge tools or emotional-support data to improve further [27], [30].</w:t>
      </w:r>
    </w:p>
    <w:p>
      <w:pPr>
        <w:spacing w:after="120"/>
      </w:pPr>
      <w:r>
        <w:t xml:space="preserve">These advances leave four problems open. First, </w:t>
      </w:r>
      <w:r>
        <w:rPr>
          <w:b/>
        </w:rPr>
        <w:t>LLM empathy is fluent but difficult to control</w:t>
      </w:r>
      <w:r>
        <w:t xml:space="preserve">. LLMs repeat empathic phrases, forget initial instructions and produce lengthy responses that may be mistaken for greater empathy [29], yet none of the EmpatheticDialogues studies reviewed measures whether replies follow explicit interaction rules. Second, </w:t>
      </w:r>
      <w:r>
        <w:rPr>
          <w:b/>
        </w:rPr>
        <w:t>the strongest results depend on resources beyond a consumer GPU</w:t>
      </w:r>
      <w:r>
        <w:t xml:space="preserve">, such as fine-tuning models of tens of billions of parameters, multimodal input, or commercial APIs to which a user's disclosure must be sent. Third, </w:t>
      </w:r>
      <w:r>
        <w:rPr>
          <w:b/>
        </w:rPr>
        <w:t>emotion recognition is often evaluated on an easier input than a deployed system receives</w:t>
      </w:r>
      <w:r>
        <w:t xml:space="preserve">. Classifiers trained on situation descriptions read an explicit summary rather than the user's message [1], and joint models do not expose the emotion they recognise for inspection. Fourth, </w:t>
      </w:r>
      <w:r>
        <w:rPr>
          <w:b/>
        </w:rPr>
        <w:t>the statistical evidence is often thin</w:t>
      </w:r>
      <w:r>
        <w:t>. Most studies report differences in automatic metrics or small human studies without paired significance testing, and at least one reports empathy gains that are not statistically significant [31]. Future work should therefore pursue controllable and inspectable behaviour under realistic resource limits, emotion recognition evaluated on real conversational input, and conclusions supported by appropriate statistical tests.</w:t>
      </w:r>
    </w:p>
    <w:p>
      <w:pPr>
        <w:spacing w:after="120"/>
      </w:pPr>
      <w:r>
        <w:t>This thesis addresses these gaps as summarised in Table 2.2.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3EEFB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Gap</w:t>
            </w:r>
          </w:p>
        </w:tc>
        <w:tc>
          <w:tcPr>
            <w:tcW w:type="dxa" w:w="2340"/>
            <w:shd w:val="clear" w:color="auto" w:fill="E3EEFB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What the literature lacks</w:t>
            </w:r>
          </w:p>
        </w:tc>
        <w:tc>
          <w:tcPr>
            <w:tcW w:type="dxa" w:w="2340"/>
            <w:shd w:val="clear" w:color="auto" w:fill="E3EEFB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How this thesis addresses it</w:t>
            </w:r>
          </w:p>
        </w:tc>
        <w:tc>
          <w:tcPr>
            <w:tcW w:type="dxa" w:w="2340"/>
            <w:shd w:val="clear" w:color="auto" w:fill="E3EEFB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Section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6"/>
              </w:rPr>
              <w:t>G1</w:t>
            </w:r>
          </w:p>
        </w:tc>
        <w:tc>
          <w:tcPr>
            <w:tcW w:type="dxa" w:w="2340"/>
          </w:tcPr>
          <w:p>
            <w:r/>
            <w:r>
              <w:rPr>
                <w:sz w:val="16"/>
              </w:rPr>
              <w:t>Measured control over interaction behaviour</w:t>
            </w:r>
          </w:p>
        </w:tc>
        <w:tc>
          <w:tcPr>
            <w:tcW w:type="dxa" w:w="2340"/>
          </w:tcPr>
          <w:p>
            <w:r/>
            <w:r>
              <w:rPr>
                <w:sz w:val="16"/>
              </w:rPr>
              <w:t>Explicit response rules scored for every reply and compared against monolithic alternatives</w:t>
            </w:r>
          </w:p>
        </w:tc>
        <w:tc>
          <w:tcPr>
            <w:tcW w:type="dxa" w:w="2340"/>
          </w:tcPr>
          <w:p>
            <w:r/>
            <w:r>
              <w:rPr>
                <w:sz w:val="16"/>
              </w:rPr>
              <w:t>4.2, 5.1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6"/>
              </w:rPr>
              <w:t>G2</w:t>
            </w:r>
          </w:p>
        </w:tc>
        <w:tc>
          <w:tcPr>
            <w:tcW w:type="dxa" w:w="2340"/>
          </w:tcPr>
          <w:p>
            <w:r/>
            <w:r>
              <w:rPr>
                <w:sz w:val="16"/>
              </w:rPr>
              <w:t>Inspectable emotional reasoning</w:t>
            </w:r>
          </w:p>
        </w:tc>
        <w:tc>
          <w:tcPr>
            <w:tcW w:type="dxa" w:w="2340"/>
          </w:tcPr>
          <w:p>
            <w:r/>
            <w:r>
              <w:rPr>
                <w:sz w:val="16"/>
              </w:rPr>
              <w:t>A separate detector whose top-3 candidates, chosen emotion and influential words are exposed</w:t>
            </w:r>
          </w:p>
        </w:tc>
        <w:tc>
          <w:tcPr>
            <w:tcW w:type="dxa" w:w="2340"/>
          </w:tcPr>
          <w:p>
            <w:r/>
            <w:r>
              <w:rPr>
                <w:sz w:val="16"/>
              </w:rPr>
              <w:t>4.1, 4.2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6"/>
              </w:rPr>
              <w:t>G3</w:t>
            </w:r>
          </w:p>
        </w:tc>
        <w:tc>
          <w:tcPr>
            <w:tcW w:type="dxa" w:w="2340"/>
          </w:tcPr>
          <w:p>
            <w:r/>
            <w:r>
              <w:rPr>
                <w:sz w:val="16"/>
              </w:rPr>
              <w:t>Small, self-hostable systems</w:t>
            </w:r>
          </w:p>
        </w:tc>
        <w:tc>
          <w:tcPr>
            <w:tcW w:type="dxa" w:w="2340"/>
          </w:tcPr>
          <w:p>
            <w:r/>
            <w:r>
              <w:rPr>
                <w:sz w:val="16"/>
              </w:rPr>
              <w:t>A 125M-parameter detector and a 3.8B-parameter generator on a single 8 GB GPU, without fine-tuning the generator</w:t>
            </w:r>
          </w:p>
        </w:tc>
        <w:tc>
          <w:tcPr>
            <w:tcW w:type="dxa" w:w="2340"/>
          </w:tcPr>
          <w:p>
            <w:r/>
            <w:r>
              <w:rPr>
                <w:sz w:val="16"/>
              </w:rPr>
              <w:t>4.2, 3.8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6"/>
              </w:rPr>
              <w:t>G4</w:t>
            </w:r>
          </w:p>
        </w:tc>
        <w:tc>
          <w:tcPr>
            <w:tcW w:type="dxa" w:w="2340"/>
          </w:tcPr>
          <w:p>
            <w:r/>
            <w:r>
              <w:rPr>
                <w:sz w:val="16"/>
              </w:rPr>
              <w:t>Statistical rigour</w:t>
            </w:r>
          </w:p>
        </w:tc>
        <w:tc>
          <w:tcPr>
            <w:tcW w:type="dxa" w:w="2340"/>
          </w:tcPr>
          <w:p>
            <w:r/>
            <w:r>
              <w:rPr>
                <w:sz w:val="16"/>
              </w:rPr>
              <w:t>Paired tests with confidence intervals and multiple-comparison correction, error-propagation analysis, and several independent evaluation signals</w:t>
            </w:r>
          </w:p>
        </w:tc>
        <w:tc>
          <w:tcPr>
            <w:tcW w:type="dxa" w:w="2340"/>
          </w:tcPr>
          <w:p>
            <w:r/>
            <w:r>
              <w:rPr>
                <w:sz w:val="16"/>
              </w:rPr>
              <w:t>5.3</w:t>
            </w:r>
          </w:p>
        </w:tc>
      </w:tr>
    </w:tbl>
    <w:p/>
    <w:p>
      <w:r>
        <w:rPr>
          <w:i/>
          <w:sz w:val="20"/>
        </w:rPr>
        <w:t>Table 2.2: Research gaps and how this thesis addresses them</w:t>
      </w:r>
    </w:p>
    <w:p>
      <w:pPr>
        <w:pStyle w:val="Heading1"/>
      </w:pPr>
      <w:r>
        <w:t>References</w:t>
      </w:r>
    </w:p>
    <w:p>
      <w:pPr>
        <w:ind w:left="576" w:hanging="576"/>
      </w:pPr>
      <w:r>
        <w:rPr>
          <w:sz w:val="20"/>
        </w:rPr>
        <w:t>[1] H. Rashkin, E. M. Smith, M. Li, and Y.-L. Boureau, "Towards empathetic open-domain conversation models: A new benchmark and dataset," in Proc. 57th Annu. Meeting Assoc. Comput. Linguistics (ACL), Florence, Italy, 2019, pp. 5370-5381, doi: 10.18653/v1/P19-1534.</w:t>
      </w:r>
    </w:p>
    <w:p>
      <w:pPr>
        <w:ind w:left="576" w:hanging="576"/>
      </w:pPr>
      <w:r>
        <w:rPr>
          <w:sz w:val="20"/>
        </w:rPr>
        <w:t>[2] S. Sabour, C. Zheng, and M. Huang, "CEM: Commonsense-aware empathetic response generation," in Proc. AAAI Conf. Artificial Intelligence, vol. 36, no. 10, 2022, pp. 11229-11237.</w:t>
      </w:r>
    </w:p>
    <w:p>
      <w:pPr>
        <w:ind w:left="576" w:hanging="576"/>
      </w:pPr>
      <w:r>
        <w:rPr>
          <w:sz w:val="20"/>
        </w:rPr>
        <w:t>[20] Z. Lin, A. Madotto, J. Shin, P. Xu, and P. Fung, "MoEL: Mixture of empathetic listeners," in Proc. 2019 Conf. Empirical Methods Natural Language Processing and 9th Int. Joint Conf. Natural Language Processing (EMNLP-IJCNLP), 2019, pp. 121-132, doi: 10.18653/v1/D19-1012.</w:t>
      </w:r>
    </w:p>
    <w:p>
      <w:pPr>
        <w:ind w:left="576" w:hanging="576"/>
      </w:pPr>
      <w:r>
        <w:rPr>
          <w:sz w:val="20"/>
        </w:rPr>
        <w:t>[21] N. Majumder, P. Hong, S. Peng, J. Lu, D. Ghosal, A. Gelbukh, R. Mihalcea, and S. Poria, "MIME: MIMicking emotions for empathetic response generation," in Proc. 2020 Conf. Empirical Methods Natural Language Processing (EMNLP), 2020, pp. 8968-8979, doi: 10.18653/v1/2020.emnlp-main.721.</w:t>
      </w:r>
    </w:p>
    <w:p>
      <w:pPr>
        <w:ind w:left="576" w:hanging="576"/>
      </w:pPr>
      <w:r>
        <w:rPr>
          <w:sz w:val="20"/>
        </w:rPr>
        <w:t>[22] Q. Li, H. Chen, Z. Ren, P. Ren, Z. Tu, and Z. Chen, "EmpDG: Multi-resolution interactive empathetic dialogue generation," in Proc. 28th Int. Conf. Computational Linguistics (COLING), 2020, pp. 4454-4466, doi: 10.18653/v1/2020.coling-main.394.</w:t>
      </w:r>
    </w:p>
    <w:p>
      <w:pPr>
        <w:ind w:left="576" w:hanging="576"/>
      </w:pPr>
      <w:r>
        <w:rPr>
          <w:sz w:val="20"/>
        </w:rPr>
        <w:t>[23] Y. Qian, W.-N. Zhang, and T. Liu, "Harnessing the power of large language models for empathetic response generation: Empirical investigations and improvements," in Findings Assoc. Comput. Linguistics: EMNLP 2023, 2023; arXiv:2310.05140.</w:t>
      </w:r>
    </w:p>
    <w:p>
      <w:pPr>
        <w:ind w:left="576" w:hanging="576"/>
      </w:pPr>
      <w:r>
        <w:rPr>
          <w:sz w:val="20"/>
        </w:rPr>
        <w:t>[24] Q. Li, P. Li, Z. Ren, P. Ren, and Z. Chen, "Knowledge bridging for empathetic dialogue generation," in Proc. AAAI Conf. Artificial Intelligence, vol. 36, no. 10, 2022, pp. 10993-11001.</w:t>
      </w:r>
    </w:p>
    <w:p>
      <w:pPr>
        <w:ind w:left="576" w:hanging="576"/>
      </w:pPr>
      <w:r>
        <w:rPr>
          <w:sz w:val="20"/>
        </w:rPr>
        <w:t>[25] J. Zhou, C. Zheng, B. Wang, Z. Zhang, and M. Huang, "CASE: Aligning coarse-to-fine cognition and affection for empathetic response generation," in Proc. 61st Annu. Meeting Assoc. Comput. Linguistics (ACL), vol. 1, 2023, pp. 8223-8237, doi: 10.18653/v1/2023.acl-long.457.</w:t>
      </w:r>
    </w:p>
    <w:p>
      <w:pPr>
        <w:ind w:left="576" w:hanging="576"/>
      </w:pPr>
      <w:r>
        <w:rPr>
          <w:sz w:val="20"/>
        </w:rPr>
        <w:t>[26] Z. Yang, Z. Ren, Y. Wang, X. Zhu, Z. Chen, T. Cai, Y. Wu, Y. Su, S. Ju, and X. Liao, "Exploiting emotion-semantic correlations for empathetic response generation," in Findings Assoc. Comput. Linguistics: EMNLP 2023, 2023, pp. 4826-4837, doi: 10.18653/v1/2023.findings-emnlp.320.</w:t>
      </w:r>
    </w:p>
    <w:p>
      <w:pPr>
        <w:ind w:left="576" w:hanging="576"/>
      </w:pPr>
      <w:r>
        <w:rPr>
          <w:sz w:val="20"/>
        </w:rPr>
        <w:t>[27] H. Cao, Y. Zhang, S. Feng, X. Yang, D. Wang, and Y. Zhang, "TOOL-ED: Enhancing empathetic response generation with the tool calling capability of LLM," in Proc. 31st Int. Conf. Computational Linguistics (COLING), Abu Dhabi, UAE, 2025, pp. 5305-5320.</w:t>
      </w:r>
    </w:p>
    <w:p>
      <w:pPr>
        <w:ind w:left="576" w:hanging="576"/>
      </w:pPr>
      <w:r>
        <w:rPr>
          <w:sz w:val="20"/>
        </w:rPr>
        <w:t>[28] J. Wu, X. Huang, Z. Zhu, and S. Wang, "From traits to empathy: Personality-aware multimodal empathetic response generation," in Proc. 31st Int. Conf. Computational Linguistics (COLING), Abu Dhabi, UAE, 2025, pp. 8925-8938.</w:t>
      </w:r>
    </w:p>
    <w:p>
      <w:pPr>
        <w:ind w:left="576" w:hanging="576"/>
      </w:pPr>
      <w:r>
        <w:rPr>
          <w:sz w:val="20"/>
        </w:rPr>
        <w:t>[29] V. Sorin, D. Brin, Y. Barash, E. Konen, A. Charney, G. Nadkarni, and E. Klang, "Large language models and empathy: Systematic review," J. Med. Internet Res., vol. 26, p. e52597, 2024, doi: 10.2196/52597.</w:t>
      </w:r>
    </w:p>
    <w:p>
      <w:pPr>
        <w:ind w:left="576" w:hanging="576"/>
      </w:pPr>
      <w:r>
        <w:rPr>
          <w:sz w:val="20"/>
        </w:rPr>
        <w:t>[30] S. Wang, R. Fang, Z. He, S. Song, and Y. Li, "Emotional support with LLM-based empathetic dialogue generation," arXiv:2507.12820, 2025.</w:t>
      </w:r>
    </w:p>
    <w:p>
      <w:pPr>
        <w:ind w:left="576" w:hanging="576"/>
      </w:pPr>
      <w:r>
        <w:rPr>
          <w:sz w:val="20"/>
        </w:rPr>
        <w:t>[31] A. Rasool, M. I. Shahzad, H. Aslam, V. Chan, and M. A. Arshad, "Emotion-aware embedding fusion in large language models (Flan-T5, Llama 2, DeepSeek-R1, and ChatGPT 4) for intelligent response generation," AI, vol. 6, no. 3, p. 56, 2025, doi: 10.3390/ai6030056.</w:t>
      </w:r>
    </w:p>
    <w:p>
      <w:pPr>
        <w:ind w:left="576" w:hanging="576"/>
      </w:pPr>
      <w:r>
        <w:rPr>
          <w:sz w:val="20"/>
        </w:rPr>
        <w:t>[32] A. Paranjape, A. See, K. Kenealy, H. Li, A. Hardy, P. Qi, K. R. Sadagopan, N. M. Phu, D. Soylu, and C. D. Manning, "Neural generation meets real people: Towards emotionally engaging mixed-initiative conversations," in 3rd Proc. Alexa Prize (Alexa Prize 2019), 2020; arXiv:2008.12348.</w:t>
      </w:r>
    </w:p>
    <w:p>
      <w:pPr>
        <w:ind w:left="576" w:hanging="576"/>
      </w:pPr>
      <w:r>
        <w:rPr>
          <w:sz w:val="20"/>
        </w:rPr>
        <w:t>[33] T. D. Belay, I. A. Azime, A. A. Ayele, G. Sidorov, D. Klakow, P. Slusallek, O. Kolesnikova, and S. M. Yimam, "Evaluating the capabilities of large language models for multi-label emotion understanding," in Proc. 31st Int. Conf. Computational Linguistics (COLING), Abu Dhabi, UAE, 2025, pp. 3523-3540.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