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1"/>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[1]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[36];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1"/>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1"/>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1"/>
      </w:pPr>
      <w:r>
        <w:t>3.4.4 Data and Model Licensing</w:t>
      </w:r>
    </w:p>
    <w:p>
      <w:pPr>
        <w:spacing w:after="120"/>
      </w:pPr>
      <w:r>
        <w:t>Table 3.1 lists the licences of the dataset and models used. EmpatheticDialogues is released under the Creative Commons Attribution-NonCommercial 4.0 licence [3], which requires attribution and forbids commercial use. Because the emotion detector is trained on this data, it may be shared for research but may not be incorporated into a commercial product without separately licensed training data. The final generator, Phi-4-mini-instruct [7], and the RoBERTa detector backbone [6] are released under the MIT licence, the Qwen2.5 baselines [8] under Apache-2.0, and the Gemma-3 candidate under Google's Gemma Terms of Use [37]. The WASSA empathy model [15]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Mistral Large</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3.1: Licences of the dataset and models used in this work</w:t>
      </w:r>
    </w:p>
    <w:p>
      <w:pPr>
        <w:pStyle w:val="Heading1"/>
      </w:pPr>
      <w:r>
        <w:t>3.4.5 Bias and Fairness</w:t>
      </w:r>
    </w:p>
    <w:p>
      <w:pPr>
        <w:spacing w:after="120"/>
      </w:pPr>
      <w:r>
        <w:t>EmpatheticDialogues is an English-only corpus written by crowdworkers [1].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three blind AI judges from different developers, an independent empathy classifier and a human study. The AI judges were chosen from developers unrelated to both the generator (Microsoft) and the baselines (Alibaba), because LLM evaluators tend to favour outputs from their own model family [34].</w:t>
      </w:r>
    </w:p>
    <w:p>
      <w:pPr>
        <w:pStyle w:val="Heading1"/>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p>
      <w:pPr>
        <w:ind w:left="576" w:hanging="576"/>
      </w:pPr>
      <w:r>
        <w:rPr>
          <w:sz w:val="20"/>
        </w:rPr>
        <w:t>[37] Google, "Gemma terms of use." [Online]. Available: https://ai.google.dev/gemma/terms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