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1"/>
      </w:pPr>
      <w:r>
        <w:t>3.6.1 Requirements and Specifications</w:t>
      </w:r>
    </w:p>
    <w:p>
      <w:pPr>
        <w:spacing w:after="120"/>
      </w:pPr>
      <w:r>
        <w:t>The requirements were refined from the project proposal, supervisor feedback and the remarks of the Pre-Thesis 2 defence panel into the following specification.</w:t>
      </w:r>
    </w:p>
    <w:p>
      <w:pPr>
        <w:spacing w:after="120"/>
      </w:pPr>
      <w:r>
        <w:rPr>
          <w:b/>
        </w:rPr>
        <w:t>Functional requirements.</w:t>
      </w:r>
      <w:r>
        <w:t xml:space="preserve"> (F1) Given a user's message, the system identifies the most likely emotion among the 32 EmpatheticDialogues categories [1]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1"/>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1"/>
      </w:pPr>
      <w:r>
        <w:t>3.6.3 Work Breakdown and Schedule</w:t>
      </w:r>
    </w:p>
    <w:p>
      <w:pPr>
        <w:spacing w:after="120"/>
      </w:pPr>
      <w:r>
        <w:t>Table 3.2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that produced the Pre-Thesis 2 report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3.2: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1"/>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1"/>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[3]. </w:t>
      </w:r>
      <w:r>
        <w:rPr>
          <w:b/>
        </w:rPr>
        <w:t>People:</w:t>
      </w:r>
      <w:r>
        <w:t xml:space="preserve"> as described in Section 3.6.4. Costs are analysed in Section 3.8.</w:t>
      </w:r>
    </w:p>
    <w:p>
      <w:pPr>
        <w:pStyle w:val="Heading1"/>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[39],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After the Pre-Thesis 2 panel questioned whether multiple models were needed,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three other providers, and judging was divided between two accounts to work within a daily limit of 50 requests.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1"/>
      </w:pPr>
      <w:r>
        <w:t>3.6.7 Remaining Schedule</w:t>
      </w:r>
    </w:p>
    <w:p>
      <w:pPr>
        <w:spacing w:after="120"/>
      </w:pPr>
      <w:r>
        <w:t>Table 3.3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3.3: Remaining milestones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[39] D. Demszky, D. Movshovitz-Attias, J. Ko, A. Cowen, G. Nemade, and S. Ravi, "GoEmotions: A dataset of fine-grained emotions," in Proc. 58th Annu. Meeting Assoc. Comput. Linguistics (ACL), 2020, pp. 4040-4054, doi: 10.18653/v1/2020.acl-main.372.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