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5.6 Discussion</w:t>
      </w:r>
    </w:p>
    <w:p>
      <w:pPr>
        <w:pStyle w:val="IntenseQuote"/>
      </w:pPr>
      <w:r>
        <w:t>Note for the team (delete before submission): the rubric has no Section 5.5. Confirm the numbering with the supervisor. The closing paragraph must be written once the human-evaluation and final AI-judge results are available.</w:t>
      </w:r>
    </w:p>
    <w:p>
      <w:pPr>
        <w:spacing w:after="120"/>
      </w:pPr>
      <w:r>
        <w:t>This section interprets the results as a whole: what they mean for the research question, why the unexpected results occurred, how the work answers the concerns of the Pre-Thesis 2 panel, what its limitations are, and what should follow.</w:t>
      </w:r>
    </w:p>
    <w:p>
      <w:pPr>
        <w:pStyle w:val="Heading1"/>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the WASSA classifier and significantly more faithful to the user's actual emotion</w:t>
      </w:r>
      <w:r>
        <w:t xml:space="preserve">, while its rule adherence is statistically indistinguishable from that of a same-size single model after correction for multiple comparisons. </w:t>
      </w:r>
      <w:r>
        <w:rPr>
          <w:b/>
        </w:rPr>
        <w:t>A larger single model, however, outperforms it</w:t>
      </w:r>
      <w:r>
        <w:t xml:space="preserve"> in rule adherence and empathy. The advantage of decoupling therefore does not lie in separation alone outperforming scale. It lies in what separation makes possible: an explicit and inspectable emotional decision that can be conditioned on, audited and, where necessary, intercepted.</w:t>
      </w:r>
    </w:p>
    <w:p>
      <w:pPr>
        <w:pStyle w:val="Heading1"/>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[1],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w:t>
      </w:r>
    </w:p>
    <w:p>
      <w:pPr>
        <w:pStyle w:val="Heading1"/>
      </w:pPr>
      <w:r>
        <w:t>5.6.3 Response to the Pre-Thesis 2 Panel</w:t>
      </w:r>
    </w:p>
    <w:p>
      <w:pPr>
        <w:spacing w:after="120"/>
      </w:pPr>
      <w:r>
        <w:t>The panel questioned whether multiple models were necessary and suggested that a simpler agentic, retrieval-based design might perform better. Both suggestions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[11] reduced rule adherence in both versions we built, from 63.7% to 54.3% and 43.7%, because real listener replies model the multi-question behaviour that the rules are intended to prevent.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1"/>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AI-judge scores.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1"/>
      </w:pPr>
      <w:r>
        <w:t>5.6.5 Limitations</w:t>
      </w:r>
    </w:p>
    <w:p>
      <w:pPr>
        <w:spacing w:after="120"/>
      </w:pPr>
      <w:r>
        <w:t xml:space="preserve">This work has seven main limitations. (1) </w:t>
      </w:r>
      <w:r>
        <w:rPr>
          <w:b/>
        </w:rPr>
        <w:t>Data.</w:t>
      </w:r>
      <w:r>
        <w:t xml:space="preserve"> EmpatheticDialogues is an English, crowd-sourced corpus with a single label per conversation [1],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The WASSA classifier was trained on peer discussions of news articles, produces coarse classes and rewards length [14]. Emotion validation relies on our own detector. And AI judges may favour longer answers [13].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[29]. (7) </w:t>
      </w:r>
      <w:r>
        <w:rPr>
          <w:b/>
        </w:rPr>
        <w:t>Efficiency.</w:t>
      </w:r>
      <w:r>
        <w:t xml:space="preserve"> Inference latency and memory use were not measured.</w:t>
      </w:r>
    </w:p>
    <w:p>
      <w:pPr>
        <w:pStyle w:val="Heading1"/>
      </w:pPr>
      <w:r>
        <w:t>5.6.6 Future Work</w:t>
      </w:r>
    </w:p>
    <w:p>
      <w:pPr>
        <w:spacing w:after="120"/>
      </w:pPr>
      <w:r>
        <w:t>In order of priority, future work should: (i) add a pre-generation crisis filter with reviewed safe responses, which is required before any public deployment [36];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inference latency and memory use to inform deployment decisions.</w:t>
      </w:r>
    </w:p>
    <w:p>
      <w:pPr>
        <w:pStyle w:val="Heading1"/>
      </w:pPr>
      <w:r>
        <w:t>5.6.7 Concluding Remarks</w:t>
      </w:r>
    </w:p>
    <w:p>
      <w:pPr>
        <w:spacing w:after="120"/>
      </w:pPr>
      <w:r>
        <w:rPr>
          <w:b/>
          <w:color w:val="B03A00"/>
        </w:rPr>
        <w:t>[[PENDING: one paragraph restating the contribution, to be written once the human-evaluation results and the final system's AI-judge scores are available. If human raters prefer the final system to the same-size single model, state this with the selection rate; if they prefer the larger model, retain the framing of inspectability and control and report the result plainly.]]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