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results are available.</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while its rule adherence is statistically indistinguishable from that of a same-size single model after correction for multiple comparisons. </w:t>
      </w:r>
      <w:r>
        <w:rPr>
          <w:b/>
        </w:rPr>
        <w:t>A larger single model, however, outperforms it</w:t>
      </w:r>
      <w:r>
        <w:t xml:space="preserve"> in rule adherence and empathy, although the AI judges' overall scores for the two do not differ significantly after correction (8.90 against 8.68). The advantage of decoupling therefore does not lie in separation alone outperforming scale. It lies in what separation makes possible: an explicit and inspectable emotional decision that can be conditioned on, audited and, where necessary, intercepted.</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1"/>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model the multi-question behaviour that the rules are intended to prevent.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AI-judge empathy (8.15 against 7.84).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The WASSA classifier was trained on peer discussions of news articles, produces coarse classes and rewards length [14]. Emotion validation relies on our own detector. AI judges may favour longer answers [13], and the planned three-judge panel was reduced to two judges when one became unavailable, although the two panels agree closely on the systems both scored.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w:t>
      </w:r>
      <w:r>
        <w:t xml:space="preserve"> Inference latency and memory use were not measured.</w:t>
      </w:r>
    </w:p>
    <w:p>
      <w:pPr>
        <w:pStyle w:val="Heading1"/>
      </w:pPr>
      <w:r>
        <w:t>5.6.6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inference latency and memory use to inform deployment decisions.</w:t>
      </w:r>
    </w:p>
    <w:p>
      <w:pPr>
        <w:pStyle w:val="Heading1"/>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