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drawing>
          <wp:anchor allowOverlap="1" behindDoc="0" distB="0" distT="0" distL="114300" distR="114300" hidden="0" layoutInCell="1" locked="0" relativeHeight="0" simplePos="0">
            <wp:simplePos x="0" y="0"/>
            <wp:positionH relativeFrom="margin">
              <wp:align>center</wp:align>
            </wp:positionH>
            <wp:positionV relativeFrom="margin">
              <wp:align>top</wp:align>
            </wp:positionV>
            <wp:extent cx="926761" cy="1314450"/>
            <wp:effectExtent b="0" l="0" r="0" t="0"/>
            <wp:wrapSquare wrapText="bothSides" distB="0" distT="0" distL="114300" distR="11430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926761" cy="1314450"/>
                    </a:xfrm>
                    <a:prstGeom prst="rect"/>
                    <a:ln/>
                  </pic:spPr>
                </pic:pic>
              </a:graphicData>
            </a:graphic>
          </wp:anchor>
        </w:drawing>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keepNext w:val="1"/>
        <w:widowControl w:val="0"/>
        <w:spacing w:line="276" w:lineRule="auto"/>
        <w:jc w:val="center"/>
        <w:rPr>
          <w:rFonts w:ascii="Times New Roman" w:cs="Times New Roman" w:eastAsia="Times New Roman" w:hAnsi="Times New Roman"/>
          <w:b w:val="1"/>
          <w:bCs w:val="1"/>
          <w:color w:val="000000"/>
          <w:sz w:val="36"/>
          <w:szCs w:val="36"/>
        </w:rPr>
      </w:pPr>
      <w:r w:rsidDel="00000000" w:rsidR="00000000" w:rsidRPr="00000000">
        <w:rPr>
          <w:rFonts w:ascii="Times New Roman" w:cs="Times New Roman" w:eastAsia="Times New Roman" w:hAnsi="Times New Roman"/>
          <w:b w:val="1"/>
          <w:bCs w:val="1"/>
          <w:color w:val="000000"/>
          <w:sz w:val="36"/>
          <w:szCs w:val="36"/>
          <w:rtl w:val="0"/>
        </w:rPr>
        <w:t xml:space="preserve">PARLAMENT ČESKÉ REPUBLIKY</w:t>
      </w:r>
    </w:p>
    <w:p w:rsidR="00000000" w:rsidDel="00000000" w:rsidP="00000000" w:rsidRDefault="00000000" w:rsidRPr="00000000" w14:paraId="00000009">
      <w:pPr>
        <w:keepNext w:val="1"/>
        <w:widowControl w:val="0"/>
        <w:spacing w:line="276" w:lineRule="auto"/>
        <w:jc w:val="center"/>
        <w:rPr>
          <w:rFonts w:ascii="Times New Roman" w:cs="Times New Roman" w:eastAsia="Times New Roman" w:hAnsi="Times New Roman"/>
          <w:b w:val="1"/>
          <w:bCs w:val="1"/>
          <w:color w:val="000000"/>
          <w:sz w:val="36"/>
          <w:szCs w:val="36"/>
        </w:rPr>
      </w:pPr>
      <w:r w:rsidDel="00000000" w:rsidR="00000000" w:rsidRPr="00000000">
        <w:rPr>
          <w:rtl w:val="0"/>
        </w:rPr>
      </w:r>
    </w:p>
    <w:p w:rsidR="00000000" w:rsidDel="00000000" w:rsidP="00000000" w:rsidRDefault="00000000" w:rsidRPr="00000000" w14:paraId="0000000A">
      <w:pPr>
        <w:spacing w:after="200" w:line="276" w:lineRule="auto"/>
        <w:jc w:val="center"/>
        <w:rPr>
          <w:rFonts w:ascii="Times New Roman" w:cs="Times New Roman" w:eastAsia="Times New Roman" w:hAnsi="Times New Roman"/>
          <w:color w:val="000000"/>
          <w:sz w:val="36"/>
          <w:szCs w:val="36"/>
        </w:rPr>
      </w:pPr>
      <w:r w:rsidDel="00000000" w:rsidR="00000000" w:rsidRPr="00000000">
        <w:rPr>
          <w:rFonts w:ascii="Times New Roman" w:cs="Times New Roman" w:eastAsia="Times New Roman" w:hAnsi="Times New Roman"/>
          <w:color w:val="000000"/>
          <w:sz w:val="36"/>
          <w:szCs w:val="36"/>
          <w:rtl w:val="0"/>
        </w:rPr>
        <w:t xml:space="preserve">Poslanecká sněmovna</w:t>
      </w:r>
    </w:p>
    <w:p w:rsidR="00000000" w:rsidDel="00000000" w:rsidP="00000000" w:rsidRDefault="00000000" w:rsidRPr="00000000" w14:paraId="0000000B">
      <w:pPr>
        <w:spacing w:after="200" w:line="276" w:lineRule="auto"/>
        <w:jc w:val="center"/>
        <w:rPr>
          <w:rFonts w:ascii="Times New Roman" w:cs="Times New Roman" w:eastAsia="Times New Roman" w:hAnsi="Times New Roman"/>
          <w:color w:val="000000"/>
          <w:sz w:val="36"/>
          <w:szCs w:val="36"/>
        </w:rPr>
      </w:pPr>
      <w:r w:rsidDel="00000000" w:rsidR="00000000" w:rsidRPr="00000000">
        <w:rPr>
          <w:rFonts w:ascii="Times New Roman" w:cs="Times New Roman" w:eastAsia="Times New Roman" w:hAnsi="Times New Roman"/>
          <w:color w:val="000000"/>
          <w:sz w:val="36"/>
          <w:szCs w:val="36"/>
          <w:rtl w:val="0"/>
        </w:rPr>
        <w:t xml:space="preserve">2026</w:t>
      </w:r>
    </w:p>
    <w:p w:rsidR="00000000" w:rsidDel="00000000" w:rsidP="00000000" w:rsidRDefault="00000000" w:rsidRPr="00000000" w14:paraId="0000000C">
      <w:pPr>
        <w:spacing w:after="200" w:line="276"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36"/>
          <w:szCs w:val="36"/>
          <w:rtl w:val="0"/>
        </w:rPr>
        <w:t xml:space="preserve">X. volební období</w:t>
      </w:r>
      <w:r w:rsidDel="00000000" w:rsidR="00000000" w:rsidRPr="00000000">
        <w:rPr>
          <w:rtl w:val="0"/>
        </w:rPr>
      </w:r>
    </w:p>
    <w:p w:rsidR="00000000" w:rsidDel="00000000" w:rsidP="00000000" w:rsidRDefault="00000000" w:rsidRPr="00000000" w14:paraId="0000000D">
      <w:pPr>
        <w:spacing w:after="200" w:line="276"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___________________________________________________________</w:t>
      </w:r>
    </w:p>
    <w:p w:rsidR="00000000" w:rsidDel="00000000" w:rsidP="00000000" w:rsidRDefault="00000000" w:rsidRPr="00000000" w14:paraId="0000000E">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F">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0">
      <w:pPr>
        <w:spacing w:line="276"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Pozměňovací návrh</w:t>
        <w:br w:type="textWrapping"/>
        <w:t xml:space="preserve">poslankyně Marie Krškové</w:t>
      </w:r>
      <w:r w:rsidDel="00000000" w:rsidR="00000000" w:rsidRPr="00000000">
        <w:rPr>
          <w:rFonts w:ascii="Times New Roman" w:cs="Times New Roman" w:eastAsia="Times New Roman" w:hAnsi="Times New Roman"/>
          <w:sz w:val="32"/>
          <w:szCs w:val="32"/>
          <w:rtl w:val="0"/>
        </w:rPr>
        <w:br w:type="textWrapping"/>
        <w:t xml:space="preserve">a poslance Bohuslava Niemiece</w:t>
        <w:br w:type="textWrapping"/>
      </w:r>
    </w:p>
    <w:p w:rsidR="00000000" w:rsidDel="00000000" w:rsidP="00000000" w:rsidRDefault="00000000" w:rsidRPr="00000000" w14:paraId="00000011">
      <w:pPr>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k návrhu zákona, kterým se mění zákon č. 283/2021 Sb., stavební zákon, ve znění pozdějších předpisů, a další související zákony</w:t>
      </w:r>
    </w:p>
    <w:p w:rsidR="00000000" w:rsidDel="00000000" w:rsidP="00000000" w:rsidRDefault="00000000" w:rsidRPr="00000000" w14:paraId="00000012">
      <w:pPr>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(sněmovní tisk č. 67)</w:t>
      </w:r>
    </w:p>
    <w:p w:rsidR="00000000" w:rsidDel="00000000" w:rsidP="00000000" w:rsidRDefault="00000000" w:rsidRPr="00000000" w14:paraId="00000013">
      <w:pPr>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4">
      <w:pPr>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5">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32"/>
          <w:szCs w:val="32"/>
          <w:rtl w:val="0"/>
        </w:rPr>
        <w:t xml:space="preserve">Zrušení možnosti nahradit chybějící souhlas s uzavřením plánovací smlouvy soudním rozhodnutím</w:t>
      </w:r>
      <w:r w:rsidDel="00000000" w:rsidR="00000000" w:rsidRPr="00000000">
        <w:br w:type="page"/>
      </w:r>
      <w:r w:rsidDel="00000000" w:rsidR="00000000" w:rsidRPr="00000000">
        <w:rPr>
          <w:rtl w:val="0"/>
        </w:rPr>
      </w:r>
    </w:p>
    <w:p w:rsidR="00000000" w:rsidDel="00000000" w:rsidP="00000000" w:rsidRDefault="00000000" w:rsidRPr="00000000" w14:paraId="00000016">
      <w:pPr>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Návrh zákona ve znění komplexního pozměňovacího návrhu poslanců Zuzany Mrázové, Karla Havlíčka a dalších se mění takto:</w:t>
      </w:r>
    </w:p>
    <w:p w:rsidR="00000000" w:rsidDel="00000000" w:rsidP="00000000" w:rsidRDefault="00000000" w:rsidRPr="00000000" w14:paraId="00000017">
      <w:pPr>
        <w:spacing w:after="12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18">
      <w:pPr>
        <w:spacing w:after="12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K části první, článku 1 návrhu:</w:t>
        <w:br w:type="textWrapping"/>
      </w:r>
    </w:p>
    <w:p w:rsidR="00000000" w:rsidDel="00000000" w:rsidP="00000000" w:rsidRDefault="00000000" w:rsidRPr="00000000" w14:paraId="0000001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Stávající novelizační bod 305 se zrušuje a následující novelizační body se přečíslují.</w:t>
      </w:r>
    </w:p>
    <w:p w:rsidR="00000000" w:rsidDel="00000000" w:rsidP="00000000" w:rsidRDefault="00000000" w:rsidRPr="00000000" w14:paraId="0000001A">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Odůvodnění pozměňovacího návrhu</w:t>
      </w:r>
    </w:p>
    <w:p w:rsidR="00000000" w:rsidDel="00000000" w:rsidP="00000000" w:rsidRDefault="00000000" w:rsidRPr="00000000" w14:paraId="0000001C">
      <w:pPr>
        <w:widowControl w:val="0"/>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Předkladatelé komplexního pozměňovacího návrhu (dále jen „KPN“) navrhují do § 132 stavebního zákona doplnit nový odstavec 4 stanovující, že pokud obec, městská částí hlavního města Prahy nebo kraj neuzavřou se stavebníkem v přiměřené době plánovací smlouvu, která je podmínkou pro povolení jeho záměru, i přesto, že stavebník jim předložil návrh na uzavření plánovací smlouvy splňující podmínky územního nebo regulačního plánu a plnění uvedená v návrhu plánovací smlouvy jsou přiměřená okolnostem a podmínkám konkrétního záměru, je stavebník oprávněn domáhat se nahrazení chybějícího souhlasu s uzavřením smlouvy rozhodnutím soudu.</w:t>
      </w:r>
    </w:p>
    <w:p w:rsidR="00000000" w:rsidDel="00000000" w:rsidP="00000000" w:rsidRDefault="00000000" w:rsidRPr="00000000" w14:paraId="0000001D">
      <w:pPr>
        <w:widowControl w:val="0"/>
        <w:spacing w:line="276" w:lineRule="auto"/>
        <w:jc w:val="both"/>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sz w:val="24"/>
          <w:szCs w:val="24"/>
          <w:rtl w:val="0"/>
        </w:rPr>
        <w:t xml:space="preserve">Smyslem našeho pozměňovacího návrhu je toto navrhované ustanovení z KPN vypustit. V prvé řadě fakticky není předkladateli KPN nijak odůvodněno – zvláštní část odůvodnění KPN totiž nepřináší vůbec žádné vysvětlení, proč je tato úprava navrhována, pouze procesně upřesňuje, jakým způsobem by mělo nahrazení souhlasu kraje, obce atd. rozhodnutím soudu probíhat. Navrhovaná úprava je naopak </w:t>
      </w:r>
      <w:r w:rsidDel="00000000" w:rsidR="00000000" w:rsidRPr="00000000">
        <w:rPr>
          <w:rFonts w:ascii="Times New Roman" w:cs="Times New Roman" w:eastAsia="Times New Roman" w:hAnsi="Times New Roman"/>
          <w:sz w:val="24"/>
          <w:szCs w:val="24"/>
          <w:u w:val="single"/>
          <w:rtl w:val="0"/>
        </w:rPr>
        <w:t xml:space="preserve">v přímém rozporu</w:t>
      </w:r>
      <w:r w:rsidDel="00000000" w:rsidR="00000000" w:rsidRPr="00000000">
        <w:rPr>
          <w:rFonts w:ascii="Times New Roman" w:cs="Times New Roman" w:eastAsia="Times New Roman" w:hAnsi="Times New Roman"/>
          <w:sz w:val="24"/>
          <w:szCs w:val="24"/>
          <w:rtl w:val="0"/>
        </w:rPr>
        <w:t xml:space="preserve"> s obecnou částí odůvodnění KPN, kde navrhovatelé v části „Vysvětlení nezbytnosti navrhované právní úpravy v jejím celku“ uvádějí, že mezi „základní nosné body“ jimi navrhované úpravy stavebního zákona patří mj. „</w:t>
      </w:r>
      <w:r w:rsidDel="00000000" w:rsidR="00000000" w:rsidRPr="00000000">
        <w:rPr>
          <w:rFonts w:ascii="Times New Roman" w:cs="Times New Roman" w:eastAsia="Times New Roman" w:hAnsi="Times New Roman"/>
          <w:sz w:val="24"/>
          <w:szCs w:val="24"/>
          <w:u w:val="single"/>
          <w:rtl w:val="0"/>
        </w:rPr>
        <w:t xml:space="preserve">posílení územních samospráv v oblasti územního plánování, plánovacích smluv s investory a ochraně jimi reprezentovaných veřejných zájmů jako účastníků v řízení</w:t>
      </w:r>
      <w:r w:rsidDel="00000000" w:rsidR="00000000" w:rsidRPr="00000000">
        <w:rPr>
          <w:rFonts w:ascii="Times New Roman" w:cs="Times New Roman" w:eastAsia="Times New Roman" w:hAnsi="Times New Roman"/>
          <w:sz w:val="24"/>
          <w:szCs w:val="24"/>
          <w:rtl w:val="0"/>
        </w:rPr>
        <w:t xml:space="preserve">“. Jimi navrhované znění nového odstavce 4 paragrafu 132 stav. zák. ve skutečnosti míří k pravému opaku. Máme za to, že pokud by byla tato úprava přijata, jednalo by se o bezprecedentní zásah do práva samosprávy určovat, zda je pro ni plánovací smlouva přiměřená a výhodná, ne-li dokonce o porušení Ústavou zaručeného práva na samosprávu.</w:t>
      </w:r>
      <w:r w:rsidDel="00000000" w:rsidR="00000000" w:rsidRPr="00000000">
        <w:rPr>
          <w:rtl w:val="0"/>
        </w:rPr>
      </w:r>
    </w:p>
    <w:p w:rsidR="00000000" w:rsidDel="00000000" w:rsidP="00000000" w:rsidRDefault="00000000" w:rsidRPr="00000000" w14:paraId="0000001E">
      <w:pPr>
        <w:widowControl w:val="0"/>
        <w:spacing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F">
      <w:pPr>
        <w:widowControl w:val="0"/>
        <w:spacing w:line="276" w:lineRule="auto"/>
        <w:jc w:val="both"/>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Dotčená ustanovení zákona č. 28/2021 Sb., stavební zákon, ve znění komplexního pozměňovacího návrhu poslanců Zuzany Mrázové, Karla Havlíčka a dalších, s vyznačením navrhovaných změn (zrušený text přeškrtnut):</w:t>
      </w:r>
    </w:p>
    <w:p w:rsidR="00000000" w:rsidDel="00000000" w:rsidP="00000000" w:rsidRDefault="00000000" w:rsidRPr="00000000" w14:paraId="00000020">
      <w:pPr>
        <w:widowControl w:val="0"/>
        <w:spacing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1">
      <w:pPr>
        <w:widowControl w:val="0"/>
        <w:spacing w:line="276" w:lineRule="auto"/>
        <w:ind w:firstLine="708"/>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132</w:t>
      </w:r>
    </w:p>
    <w:p w:rsidR="00000000" w:rsidDel="00000000" w:rsidP="00000000" w:rsidRDefault="00000000" w:rsidRPr="00000000" w14:paraId="00000022">
      <w:pPr>
        <w:widowControl w:val="0"/>
        <w:spacing w:line="276" w:lineRule="auto"/>
        <w:ind w:firstLine="708"/>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Uzavírání a přezkum plánovací smlouvy</w:t>
      </w:r>
    </w:p>
    <w:p w:rsidR="00000000" w:rsidDel="00000000" w:rsidP="00000000" w:rsidRDefault="00000000" w:rsidRPr="00000000" w14:paraId="00000023">
      <w:pPr>
        <w:widowControl w:val="0"/>
        <w:spacing w:line="276" w:lineRule="auto"/>
        <w:ind w:firstLine="5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Plánovací smlouvu uzavíranou obcí, krajem nebo hlavním městem Prahou schvaluje zastupitelstvo obce, zastupitelstvo kraje nebo zastupitelstvo hlavního města Prahy. Plánovací smlouvu uzavíranou městskou částí hlavního města Prahy schvaluje zastupitelstvo městské části. Zastupitelstvo může přenést pravomoc schvalovat změnu plánovací smlouvy na radu, není-li obsahem změny plánovací smlouvy takové ujednání, které je ze zákona vyhrazeno zastupitelstvu. O plánovací smlouvě a záměru, který je jejím předmětem, lze konat místní referendum pouze před uzavřením plánovací smlouvy.</w:t>
      </w:r>
    </w:p>
    <w:p w:rsidR="00000000" w:rsidDel="00000000" w:rsidP="00000000" w:rsidRDefault="00000000" w:rsidRPr="00000000" w14:paraId="00000024">
      <w:pPr>
        <w:widowControl w:val="0"/>
        <w:spacing w:line="276" w:lineRule="auto"/>
        <w:ind w:firstLine="5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K přezkumu souladu plánovací smlouvy uzavřené obcí nebo městskou částí hlavního města Prahy s právními předpisy a k rozhodování sporů z ní je příslušný úřad rozvoje území kraje.</w:t>
      </w:r>
    </w:p>
    <w:p w:rsidR="00000000" w:rsidDel="00000000" w:rsidP="00000000" w:rsidRDefault="00000000" w:rsidRPr="00000000" w14:paraId="00000025">
      <w:pPr>
        <w:widowControl w:val="0"/>
        <w:spacing w:line="276" w:lineRule="auto"/>
        <w:ind w:firstLine="5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K přezkumu souladu plánovací smlouvy uzavřené krajem nebo hlavním městem Prahou s právními předpisy a k rozhodování sporů z ní je příslušný Úřad.</w:t>
      </w:r>
    </w:p>
    <w:p w:rsidR="00000000" w:rsidDel="00000000" w:rsidP="00000000" w:rsidRDefault="00000000" w:rsidRPr="00000000" w14:paraId="00000026">
      <w:pPr>
        <w:widowControl w:val="0"/>
        <w:spacing w:line="276" w:lineRule="auto"/>
        <w:ind w:firstLine="567"/>
        <w:jc w:val="both"/>
        <w:rPr>
          <w:rFonts w:ascii="Times New Roman" w:cs="Times New Roman" w:eastAsia="Times New Roman" w:hAnsi="Times New Roman"/>
          <w:strike w:val="1"/>
          <w:sz w:val="24"/>
          <w:szCs w:val="24"/>
        </w:rPr>
      </w:pPr>
      <w:r w:rsidDel="00000000" w:rsidR="00000000" w:rsidRPr="00000000">
        <w:rPr>
          <w:rFonts w:ascii="Times New Roman" w:cs="Times New Roman" w:eastAsia="Times New Roman" w:hAnsi="Times New Roman"/>
          <w:strike w:val="1"/>
          <w:sz w:val="24"/>
          <w:szCs w:val="24"/>
          <w:rtl w:val="0"/>
        </w:rPr>
        <w:t xml:space="preserve">(4) Pokud obec, městská částí hlavního města Prahy nebo kraj neuzavřou se stavebníkem v přiměřené době plánovací smlouvu, která je podmínkou pro povolení jeho záměru, i přesto, že stavebník jim předložil návrh na uzavření plánovací smlouvy splňující podmínky územního nebo regulačního plánu a plnění uvedená v návrhu plánovací smlouvy jsou přiměřená okolnostem a podmínkám konkrétního záměru, je stavebník oprávněn domáhat se nahrazení chybějícího souhlasu s uzavřením smlouvy rozhodnutím soudu.</w:t>
      </w:r>
    </w:p>
    <w:p w:rsidR="00000000" w:rsidDel="00000000" w:rsidP="00000000" w:rsidRDefault="00000000" w:rsidRPr="00000000" w14:paraId="00000027">
      <w:pPr>
        <w:widowControl w:val="0"/>
        <w:spacing w:line="240" w:lineRule="auto"/>
        <w:ind w:firstLine="708"/>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spacing w:after="0" w:line="276" w:lineRule="auto"/>
        <w:jc w:val="both"/>
        <w:rPr>
          <w:rFonts w:ascii="Times New Roman" w:cs="Times New Roman" w:eastAsia="Times New Roman" w:hAnsi="Times New Roman"/>
          <w:sz w:val="24"/>
          <w:szCs w:val="24"/>
        </w:rPr>
      </w:pPr>
      <w:bookmarkStart w:colFirst="0" w:colLast="0" w:name="_7ui8wryjelyz" w:id="0"/>
      <w:bookmarkEnd w:id="0"/>
      <w:r w:rsidDel="00000000" w:rsidR="00000000" w:rsidRPr="00000000">
        <w:rPr>
          <w:rFonts w:ascii="Times New Roman" w:cs="Times New Roman" w:eastAsia="Times New Roman" w:hAnsi="Times New Roman"/>
          <w:sz w:val="24"/>
          <w:szCs w:val="24"/>
          <w:rtl w:val="0"/>
        </w:rPr>
        <w:t xml:space="preserve">V Praze dne 26. května 2026</w:t>
        <w:tab/>
        <w:tab/>
        <w:tab/>
        <w:t xml:space="preserve">Ing. Mgr. Marie Kršková</w:t>
      </w:r>
    </w:p>
    <w:p w:rsidR="00000000" w:rsidDel="00000000" w:rsidP="00000000" w:rsidRDefault="00000000" w:rsidRPr="00000000" w14:paraId="0000002B">
      <w:pPr>
        <w:spacing w:after="0" w:line="276" w:lineRule="auto"/>
        <w:jc w:val="both"/>
        <w:rPr/>
      </w:pPr>
      <w:bookmarkStart w:colFirst="0" w:colLast="0" w:name="_euvhalun25lw" w:id="1"/>
      <w:bookmarkEnd w:id="1"/>
      <w:r w:rsidDel="00000000" w:rsidR="00000000" w:rsidRPr="00000000">
        <w:rPr>
          <w:rFonts w:ascii="Times New Roman" w:cs="Times New Roman" w:eastAsia="Times New Roman" w:hAnsi="Times New Roman"/>
          <w:sz w:val="24"/>
          <w:szCs w:val="24"/>
          <w:rtl w:val="0"/>
        </w:rPr>
        <w:tab/>
        <w:tab/>
        <w:tab/>
        <w:tab/>
        <w:tab/>
        <w:tab/>
        <w:t xml:space="preserve">Ing. Bohuslav Niemiec</w:t>
      </w:r>
      <w:r w:rsidDel="00000000" w:rsidR="00000000" w:rsidRPr="00000000">
        <w:rPr>
          <w:rtl w:val="0"/>
        </w:rPr>
      </w:r>
    </w:p>
    <w:sectPr>
      <w:pgSz w:h="16838" w:w="11906" w:orient="portrait"/>
      <w:pgMar w:bottom="1417" w:top="1417" w:left="1417" w:right="141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c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color w:val="2f5496"/>
      <w:sz w:val="32"/>
      <w:szCs w:val="32"/>
    </w:rPr>
  </w:style>
  <w:style w:type="paragraph" w:styleId="Heading2">
    <w:name w:val="heading 2"/>
    <w:basedOn w:val="Normal"/>
    <w:next w:val="Normal"/>
    <w:pPr>
      <w:keepNext w:val="1"/>
      <w:spacing w:after="120" w:before="360" w:line="240" w:lineRule="auto"/>
      <w:jc w:val="center"/>
    </w:pPr>
    <w:rPr>
      <w:rFonts w:ascii="Times New Roman" w:cs="Times New Roman" w:eastAsia="Times New Roman" w:hAnsi="Times New Roman"/>
      <w:color w:val="000000"/>
      <w:sz w:val="24"/>
      <w:szCs w:val="24"/>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