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4EBF" w14:textId="77777777" w:rsidR="00C67749" w:rsidRDefault="00000000">
      <w:pPr>
        <w:spacing w:before="120" w:after="120" w:line="276" w:lineRule="auto"/>
        <w:jc w:val="center"/>
        <w:rPr>
          <w:rFonts w:ascii="Times New Roman" w:eastAsia="Times New Roman" w:hAnsi="Times New Roman" w:cs="Times New Roman"/>
          <w:b/>
          <w:bCs/>
        </w:rPr>
      </w:pPr>
      <w:r>
        <w:rPr>
          <w:rFonts w:ascii="Times New Roman" w:eastAsia="Times New Roman" w:hAnsi="Times New Roman" w:cs="Times New Roman"/>
          <w:b/>
          <w:bCs/>
          <w:noProof/>
        </w:rPr>
        <w:drawing>
          <wp:inline distT="0" distB="0" distL="0" distR="0" wp14:anchorId="30EA6DA0" wp14:editId="2C7C5EF4">
            <wp:extent cx="2080260" cy="1082040"/>
            <wp:effectExtent l="0" t="0" r="0" b="0"/>
            <wp:docPr id="1" name="image1.jpg" descr="Obsah obrázku Písmo, skica, klipart, Perokresba&#10;&#10;Obsah generovaný pomocí AI může být nesprávný."/>
            <wp:cNvGraphicFramePr/>
            <a:graphic xmlns:a="http://schemas.openxmlformats.org/drawingml/2006/main">
              <a:graphicData uri="http://schemas.openxmlformats.org/drawingml/2006/picture">
                <pic:pic xmlns:pic="http://schemas.openxmlformats.org/drawingml/2006/picture">
                  <pic:nvPicPr>
                    <pic:cNvPr id="0" name="image1.jpg" descr="Obsah obrázku Písmo, skica, klipart, Perokresba&#10;&#10;Obsah generovaný pomocí AI může být nesprávný."/>
                    <pic:cNvPicPr preferRelativeResize="0"/>
                  </pic:nvPicPr>
                  <pic:blipFill>
                    <a:blip r:embed="rId5"/>
                    <a:srcRect/>
                    <a:stretch>
                      <a:fillRect/>
                    </a:stretch>
                  </pic:blipFill>
                  <pic:spPr>
                    <a:xfrm>
                      <a:off x="0" y="0"/>
                      <a:ext cx="2080260" cy="1082040"/>
                    </a:xfrm>
                    <a:prstGeom prst="rect">
                      <a:avLst/>
                    </a:prstGeom>
                    <a:ln/>
                  </pic:spPr>
                </pic:pic>
              </a:graphicData>
            </a:graphic>
          </wp:inline>
        </w:drawing>
      </w:r>
    </w:p>
    <w:p w14:paraId="744AB96B" w14:textId="77777777" w:rsidR="00C67749" w:rsidRDefault="00C67749">
      <w:pPr>
        <w:keepNext/>
        <w:spacing w:before="120" w:after="120" w:line="276" w:lineRule="auto"/>
        <w:jc w:val="center"/>
        <w:rPr>
          <w:rFonts w:ascii="Times New Roman" w:eastAsia="Times New Roman" w:hAnsi="Times New Roman" w:cs="Times New Roman"/>
        </w:rPr>
      </w:pPr>
    </w:p>
    <w:p w14:paraId="71B83B60" w14:textId="77777777" w:rsidR="00C67749" w:rsidRDefault="00000000">
      <w:pPr>
        <w:spacing w:before="120" w:after="120" w:line="276" w:lineRule="auto"/>
        <w:jc w:val="center"/>
        <w:rPr>
          <w:rFonts w:ascii="Times New Roman" w:eastAsia="Times New Roman" w:hAnsi="Times New Roman" w:cs="Times New Roman"/>
          <w:b/>
          <w:bCs/>
        </w:rPr>
      </w:pPr>
      <w:r>
        <w:rPr>
          <w:rFonts w:ascii="Times New Roman" w:eastAsia="Times New Roman" w:hAnsi="Times New Roman" w:cs="Times New Roman"/>
          <w:b/>
          <w:bCs/>
        </w:rPr>
        <w:t>PARLAMENT ČESKÉ REPUBLIKY</w:t>
      </w:r>
    </w:p>
    <w:p w14:paraId="43CAB54E" w14:textId="77777777" w:rsidR="00C67749" w:rsidRDefault="00000000">
      <w:pPr>
        <w:spacing w:before="120" w:after="120" w:line="276" w:lineRule="auto"/>
        <w:jc w:val="center"/>
        <w:rPr>
          <w:rFonts w:ascii="Times New Roman" w:eastAsia="Times New Roman" w:hAnsi="Times New Roman" w:cs="Times New Roman"/>
        </w:rPr>
      </w:pPr>
      <w:r>
        <w:rPr>
          <w:rFonts w:ascii="Times New Roman" w:eastAsia="Times New Roman" w:hAnsi="Times New Roman" w:cs="Times New Roman"/>
        </w:rPr>
        <w:t>Poslanecká sněmovna</w:t>
      </w:r>
    </w:p>
    <w:p w14:paraId="529A4CAC" w14:textId="77777777" w:rsidR="00C67749" w:rsidRDefault="00000000">
      <w:pPr>
        <w:spacing w:before="120" w:after="120" w:line="276" w:lineRule="auto"/>
        <w:jc w:val="center"/>
        <w:rPr>
          <w:rFonts w:ascii="Times New Roman" w:eastAsia="Times New Roman" w:hAnsi="Times New Roman" w:cs="Times New Roman"/>
        </w:rPr>
      </w:pPr>
      <w:r>
        <w:rPr>
          <w:rFonts w:ascii="Times New Roman" w:eastAsia="Times New Roman" w:hAnsi="Times New Roman" w:cs="Times New Roman"/>
        </w:rPr>
        <w:t>2026</w:t>
      </w:r>
    </w:p>
    <w:p w14:paraId="047C4C70" w14:textId="77777777" w:rsidR="00C67749" w:rsidRDefault="00000000">
      <w:pPr>
        <w:spacing w:before="120" w:after="120" w:line="276" w:lineRule="auto"/>
        <w:jc w:val="center"/>
        <w:rPr>
          <w:rFonts w:ascii="Times New Roman" w:eastAsia="Times New Roman" w:hAnsi="Times New Roman" w:cs="Times New Roman"/>
        </w:rPr>
      </w:pPr>
      <w:r>
        <w:rPr>
          <w:rFonts w:ascii="Times New Roman" w:eastAsia="Times New Roman" w:hAnsi="Times New Roman" w:cs="Times New Roman"/>
        </w:rPr>
        <w:t>X. volební období</w:t>
      </w:r>
    </w:p>
    <w:p w14:paraId="2F8D1205" w14:textId="77777777" w:rsidR="00C67749" w:rsidRDefault="00000000">
      <w:pPr>
        <w:spacing w:before="120" w:after="120" w:line="276" w:lineRule="auto"/>
        <w:jc w:val="center"/>
        <w:rPr>
          <w:rFonts w:ascii="Times New Roman" w:eastAsia="Times New Roman" w:hAnsi="Times New Roman" w:cs="Times New Roman"/>
          <w:b/>
          <w:bCs/>
        </w:rPr>
      </w:pPr>
      <w:r>
        <w:rPr>
          <w:rFonts w:ascii="Times New Roman" w:eastAsia="Times New Roman" w:hAnsi="Times New Roman" w:cs="Times New Roman"/>
        </w:rPr>
        <w:t>___________________________________________________________</w:t>
      </w:r>
    </w:p>
    <w:p w14:paraId="5D3B9CD1" w14:textId="77777777" w:rsidR="00C67749" w:rsidRDefault="00000000">
      <w:pPr>
        <w:keepNext/>
        <w:keepLines/>
        <w:widowControl w:val="0"/>
        <w:spacing w:before="120" w:after="120" w:line="276" w:lineRule="auto"/>
        <w:jc w:val="center"/>
        <w:rPr>
          <w:rFonts w:ascii="Times New Roman" w:eastAsia="Times New Roman" w:hAnsi="Times New Roman" w:cs="Times New Roman"/>
          <w:b/>
          <w:bCs/>
        </w:rPr>
      </w:pPr>
      <w:r>
        <w:rPr>
          <w:rFonts w:ascii="Times New Roman" w:eastAsia="Times New Roman" w:hAnsi="Times New Roman" w:cs="Times New Roman"/>
          <w:b/>
          <w:bCs/>
        </w:rPr>
        <w:t>Pozměňovací návrh</w:t>
      </w:r>
    </w:p>
    <w:p w14:paraId="21F8F2BB" w14:textId="131EDD08" w:rsidR="00C67749" w:rsidRDefault="00000000" w:rsidP="007E1D79">
      <w:pPr>
        <w:keepNext/>
        <w:keepLines/>
        <w:widowControl w:val="0"/>
        <w:spacing w:before="120" w:after="120" w:line="276"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poslanců a poslankyň Jana </w:t>
      </w:r>
      <w:proofErr w:type="spellStart"/>
      <w:r>
        <w:rPr>
          <w:rFonts w:ascii="Times New Roman" w:eastAsia="Times New Roman" w:hAnsi="Times New Roman" w:cs="Times New Roman"/>
          <w:b/>
          <w:bCs/>
        </w:rPr>
        <w:t>Berkiho</w:t>
      </w:r>
      <w:proofErr w:type="spellEnd"/>
      <w:r>
        <w:rPr>
          <w:rFonts w:ascii="Times New Roman" w:eastAsia="Times New Roman" w:hAnsi="Times New Roman" w:cs="Times New Roman"/>
          <w:b/>
          <w:bCs/>
        </w:rPr>
        <w:t xml:space="preserve">, </w:t>
      </w:r>
      <w:r w:rsidR="007E1D79">
        <w:rPr>
          <w:rFonts w:ascii="Times New Roman" w:eastAsia="Times New Roman" w:hAnsi="Times New Roman" w:cs="Times New Roman"/>
          <w:b/>
          <w:bCs/>
        </w:rPr>
        <w:t xml:space="preserve">Jiřího Bartáka, </w:t>
      </w:r>
      <w:r>
        <w:rPr>
          <w:rFonts w:ascii="Times New Roman" w:eastAsia="Times New Roman" w:hAnsi="Times New Roman" w:cs="Times New Roman"/>
          <w:b/>
          <w:bCs/>
        </w:rPr>
        <w:t xml:space="preserve">Lucie Bartošové, Matěje Ondřeje Havla, Mariana Jurečky, </w:t>
      </w:r>
      <w:r w:rsidR="009577CA">
        <w:rPr>
          <w:rFonts w:ascii="Times New Roman" w:eastAsia="Times New Roman" w:hAnsi="Times New Roman" w:cs="Times New Roman"/>
          <w:b/>
          <w:bCs/>
        </w:rPr>
        <w:t xml:space="preserve">Roberta </w:t>
      </w:r>
      <w:proofErr w:type="spellStart"/>
      <w:r w:rsidR="009577CA">
        <w:rPr>
          <w:rFonts w:ascii="Times New Roman" w:eastAsia="Times New Roman" w:hAnsi="Times New Roman" w:cs="Times New Roman"/>
          <w:b/>
          <w:bCs/>
        </w:rPr>
        <w:t>Plagy</w:t>
      </w:r>
      <w:proofErr w:type="spellEnd"/>
      <w:r w:rsidR="009577CA">
        <w:rPr>
          <w:rFonts w:ascii="Times New Roman" w:eastAsia="Times New Roman" w:hAnsi="Times New Roman" w:cs="Times New Roman"/>
          <w:b/>
          <w:bCs/>
        </w:rPr>
        <w:t xml:space="preserve">, </w:t>
      </w:r>
      <w:r w:rsidR="007E1D79">
        <w:rPr>
          <w:rFonts w:ascii="Times New Roman" w:eastAsia="Times New Roman" w:hAnsi="Times New Roman" w:cs="Times New Roman"/>
          <w:b/>
          <w:bCs/>
        </w:rPr>
        <w:t xml:space="preserve">Marie </w:t>
      </w:r>
      <w:proofErr w:type="spellStart"/>
      <w:r w:rsidR="007E1D79">
        <w:rPr>
          <w:rFonts w:ascii="Times New Roman" w:eastAsia="Times New Roman" w:hAnsi="Times New Roman" w:cs="Times New Roman"/>
          <w:b/>
          <w:bCs/>
        </w:rPr>
        <w:t>Pošarové</w:t>
      </w:r>
      <w:proofErr w:type="spellEnd"/>
      <w:r w:rsidR="007E1D79">
        <w:rPr>
          <w:rFonts w:ascii="Times New Roman" w:eastAsia="Times New Roman" w:hAnsi="Times New Roman" w:cs="Times New Roman"/>
          <w:b/>
          <w:bCs/>
        </w:rPr>
        <w:t xml:space="preserve">, </w:t>
      </w:r>
      <w:r>
        <w:rPr>
          <w:rFonts w:ascii="Times New Roman" w:eastAsia="Times New Roman" w:hAnsi="Times New Roman" w:cs="Times New Roman"/>
          <w:b/>
          <w:bCs/>
        </w:rPr>
        <w:t>Olgy Richterové</w:t>
      </w:r>
    </w:p>
    <w:p w14:paraId="42467B03" w14:textId="77777777" w:rsidR="00E8730D" w:rsidRDefault="00E8730D">
      <w:pPr>
        <w:spacing w:before="120" w:after="120" w:line="276" w:lineRule="auto"/>
        <w:jc w:val="center"/>
        <w:rPr>
          <w:rFonts w:ascii="Times New Roman" w:eastAsia="Times New Roman" w:hAnsi="Times New Roman" w:cs="Times New Roman"/>
          <w:b/>
          <w:bCs/>
        </w:rPr>
      </w:pPr>
    </w:p>
    <w:p w14:paraId="6684BD8F" w14:textId="7B06786A" w:rsidR="00C67749" w:rsidRDefault="00000000">
      <w:pPr>
        <w:spacing w:before="120" w:after="120" w:line="276"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k návrhu poslanců Andreje Babiše, Karla Havlíčka, Tomia Okamury, Petra </w:t>
      </w:r>
      <w:proofErr w:type="spellStart"/>
      <w:r>
        <w:rPr>
          <w:rFonts w:ascii="Times New Roman" w:eastAsia="Times New Roman" w:hAnsi="Times New Roman" w:cs="Times New Roman"/>
          <w:b/>
          <w:bCs/>
        </w:rPr>
        <w:t>Macinky</w:t>
      </w:r>
      <w:proofErr w:type="spellEnd"/>
      <w:r>
        <w:rPr>
          <w:rFonts w:ascii="Times New Roman" w:eastAsia="Times New Roman" w:hAnsi="Times New Roman" w:cs="Times New Roman"/>
          <w:b/>
          <w:bCs/>
        </w:rPr>
        <w:t xml:space="preserve">, Aleny Schillerové, Zuzany Schwarz Bařtipánové, Radima Fialy, Borise Šťastného, Vojtěcha </w:t>
      </w:r>
      <w:proofErr w:type="spellStart"/>
      <w:r>
        <w:rPr>
          <w:rFonts w:ascii="Times New Roman" w:eastAsia="Times New Roman" w:hAnsi="Times New Roman" w:cs="Times New Roman"/>
          <w:b/>
          <w:bCs/>
        </w:rPr>
        <w:t>Krňanského</w:t>
      </w:r>
      <w:proofErr w:type="spellEnd"/>
      <w:r>
        <w:rPr>
          <w:rFonts w:ascii="Times New Roman" w:eastAsia="Times New Roman" w:hAnsi="Times New Roman" w:cs="Times New Roman"/>
          <w:b/>
          <w:bCs/>
        </w:rPr>
        <w:t xml:space="preserve"> a Marie </w:t>
      </w:r>
      <w:proofErr w:type="spellStart"/>
      <w:r>
        <w:rPr>
          <w:rFonts w:ascii="Times New Roman" w:eastAsia="Times New Roman" w:hAnsi="Times New Roman" w:cs="Times New Roman"/>
          <w:b/>
          <w:bCs/>
        </w:rPr>
        <w:t>Pošarové</w:t>
      </w:r>
      <w:proofErr w:type="spellEnd"/>
      <w:r>
        <w:rPr>
          <w:rFonts w:ascii="Times New Roman" w:eastAsia="Times New Roman" w:hAnsi="Times New Roman" w:cs="Times New Roman"/>
          <w:b/>
          <w:bCs/>
        </w:rPr>
        <w:t xml:space="preserve"> na vydání zákona, kterým se mění zákon č. 283/2021 Sb., stavební zákon, ve znění pozdějších předpisů, a některé další související zákony, ve znění komplexního pozměňovacího návrhu a dalších schválených pozměňovacích návrhů, schválených v 55. usnesení hospodářského výboru, z 8. schůze ze dne 30. dubna 2026,</w:t>
      </w:r>
    </w:p>
    <w:p w14:paraId="0D68F7AF" w14:textId="77777777" w:rsidR="00C67749" w:rsidRDefault="00000000">
      <w:pPr>
        <w:spacing w:before="120" w:after="120" w:line="276" w:lineRule="auto"/>
        <w:jc w:val="center"/>
        <w:rPr>
          <w:rFonts w:ascii="Times New Roman" w:eastAsia="Times New Roman" w:hAnsi="Times New Roman" w:cs="Times New Roman"/>
          <w:b/>
          <w:bCs/>
        </w:rPr>
      </w:pPr>
      <w:r>
        <w:rPr>
          <w:rFonts w:ascii="Times New Roman" w:eastAsia="Times New Roman" w:hAnsi="Times New Roman" w:cs="Times New Roman"/>
          <w:b/>
          <w:bCs/>
        </w:rPr>
        <w:t>/sněmovní tisk 67/11/</w:t>
      </w:r>
    </w:p>
    <w:p w14:paraId="0EF2BB29" w14:textId="77777777" w:rsidR="00C67749" w:rsidRDefault="00C67749">
      <w:pPr>
        <w:pBdr>
          <w:top w:val="nil"/>
          <w:left w:val="nil"/>
          <w:bottom w:val="nil"/>
          <w:right w:val="nil"/>
          <w:between w:val="nil"/>
        </w:pBdr>
        <w:spacing w:before="120" w:after="120" w:line="264" w:lineRule="auto"/>
        <w:jc w:val="both"/>
        <w:rPr>
          <w:rFonts w:ascii="Times New Roman" w:eastAsia="Times New Roman" w:hAnsi="Times New Roman" w:cs="Times New Roman"/>
          <w:color w:val="000000"/>
        </w:rPr>
      </w:pPr>
    </w:p>
    <w:p w14:paraId="1102CB6B" w14:textId="77777777" w:rsidR="00C67749" w:rsidRDefault="00000000">
      <w:pPr>
        <w:widowControl w:val="0"/>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1. </w:t>
      </w:r>
      <w:r>
        <w:rPr>
          <w:rFonts w:ascii="Times New Roman" w:eastAsia="Times New Roman" w:hAnsi="Times New Roman" w:cs="Times New Roman"/>
        </w:rPr>
        <w:t xml:space="preserve">V části první v čl. I se za bod 636 vkládá nový bod, který zní: </w:t>
      </w:r>
    </w:p>
    <w:p w14:paraId="33429233" w14:textId="77777777" w:rsidR="00C67749" w:rsidRDefault="00000000">
      <w:pPr>
        <w:widowControl w:val="0"/>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rPr>
        <w:t>„637. V příloze č. 1 odst. 1 písm. a) se za bod 27 vkládá nový bod 28, který včetně poznámky pod čarou č. 64 zní:</w:t>
      </w:r>
    </w:p>
    <w:p w14:paraId="1BEF8F90" w14:textId="77777777" w:rsidR="00C67749" w:rsidRDefault="00000000">
      <w:pPr>
        <w:widowControl w:val="0"/>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rPr>
        <w:t>„28. zázemí zotavovací akce nebo jiné podobné akce pro děti</w:t>
      </w:r>
      <w:r>
        <w:rPr>
          <w:rFonts w:ascii="Times New Roman" w:eastAsia="Times New Roman" w:hAnsi="Times New Roman" w:cs="Times New Roman"/>
          <w:vertAlign w:val="superscript"/>
        </w:rPr>
        <w:t>64)</w:t>
      </w:r>
      <w:r>
        <w:rPr>
          <w:rFonts w:ascii="Times New Roman" w:eastAsia="Times New Roman" w:hAnsi="Times New Roman" w:cs="Times New Roman"/>
        </w:rPr>
        <w:t xml:space="preserve"> tvořené přístřešky o celkové zastavěné ploše všech staveb do 60 m</w:t>
      </w:r>
      <w:r>
        <w:rPr>
          <w:rFonts w:ascii="Times New Roman" w:eastAsia="Times New Roman" w:hAnsi="Times New Roman" w:cs="Times New Roman"/>
          <w:vertAlign w:val="superscript"/>
        </w:rPr>
        <w:t>2</w:t>
      </w:r>
      <w:r>
        <w:rPr>
          <w:rFonts w:ascii="Times New Roman" w:eastAsia="Times New Roman" w:hAnsi="Times New Roman" w:cs="Times New Roman"/>
        </w:rPr>
        <w:t>, s výjimkou hygienického zařízení, bez podsklepení, s nejvýše jedním nadzemním podlažím, je-li ubytování účastníků takové akce zajištěno výhradně ve stanech; takové přístřešky se za stavbu ani za drobnou stavbu nepovažují, jsou-li pro uvedený účel využívány pouze mimo období školního vyučování.</w:t>
      </w:r>
    </w:p>
    <w:p w14:paraId="50634368" w14:textId="77777777" w:rsidR="00C67749" w:rsidRDefault="00000000">
      <w:pPr>
        <w:spacing w:before="120" w:after="120" w:line="264" w:lineRule="auto"/>
        <w:jc w:val="both"/>
        <w:rPr>
          <w:rFonts w:ascii="Times New Roman" w:eastAsia="Times New Roman" w:hAnsi="Times New Roman" w:cs="Times New Roman"/>
        </w:rPr>
      </w:pPr>
      <w:bookmarkStart w:id="0" w:name="_heading=h.7xgfeh2kwtw" w:colFirst="0" w:colLast="0"/>
      <w:bookmarkEnd w:id="0"/>
      <w:r>
        <w:rPr>
          <w:rFonts w:ascii="Times New Roman" w:eastAsia="Times New Roman" w:hAnsi="Times New Roman" w:cs="Times New Roman"/>
        </w:rPr>
        <w:t>_______________________________________</w:t>
      </w:r>
    </w:p>
    <w:p w14:paraId="0B1DBA30" w14:textId="77777777" w:rsidR="00C67749" w:rsidRDefault="00000000">
      <w:pPr>
        <w:widowControl w:val="0"/>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vertAlign w:val="superscript"/>
        </w:rPr>
        <w:t>64)</w:t>
      </w:r>
      <w:r>
        <w:rPr>
          <w:rFonts w:ascii="Times New Roman" w:eastAsia="Times New Roman" w:hAnsi="Times New Roman" w:cs="Times New Roman"/>
        </w:rPr>
        <w:t xml:space="preserve"> § 8 odst. 1, § 12 zákona č. 258/2000 Sb., o ochraně veřejného zdraví, ve znění pozdějších předpisů.“.</w:t>
      </w:r>
    </w:p>
    <w:p w14:paraId="0E7C68E8" w14:textId="77777777" w:rsidR="00C67749" w:rsidRDefault="00000000">
      <w:pPr>
        <w:widowControl w:val="0"/>
        <w:spacing w:before="200" w:after="200" w:line="276" w:lineRule="auto"/>
        <w:jc w:val="both"/>
        <w:rPr>
          <w:rFonts w:ascii="Times New Roman" w:eastAsia="Times New Roman" w:hAnsi="Times New Roman" w:cs="Times New Roman"/>
        </w:rPr>
      </w:pPr>
      <w:r>
        <w:rPr>
          <w:rFonts w:ascii="Times New Roman" w:eastAsia="Times New Roman" w:hAnsi="Times New Roman" w:cs="Times New Roman"/>
        </w:rPr>
        <w:t>Dosavadní bod 28 a následující body v příloze č. 1 odst. 1 písm. a) se přečíslují.</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p>
    <w:p w14:paraId="55D138DD" w14:textId="77777777" w:rsidR="00C67749" w:rsidRDefault="00C67749">
      <w:pPr>
        <w:widowControl w:val="0"/>
        <w:spacing w:before="200" w:after="200" w:line="276" w:lineRule="auto"/>
        <w:jc w:val="both"/>
        <w:rPr>
          <w:rFonts w:ascii="Times New Roman" w:eastAsia="Times New Roman" w:hAnsi="Times New Roman" w:cs="Times New Roman"/>
        </w:rPr>
      </w:pPr>
    </w:p>
    <w:p w14:paraId="6DA1C840" w14:textId="20C6F927" w:rsidR="00C67749" w:rsidRDefault="00000000" w:rsidP="009577CA">
      <w:pPr>
        <w:widowControl w:val="0"/>
        <w:spacing w:before="200" w:after="200" w:line="276" w:lineRule="auto"/>
        <w:jc w:val="both"/>
        <w:rPr>
          <w:rFonts w:ascii="Times New Roman" w:eastAsia="Times New Roman" w:hAnsi="Times New Roman" w:cs="Times New Roman"/>
          <w:b/>
          <w:bCs/>
        </w:rPr>
      </w:pPr>
      <w:r>
        <w:rPr>
          <w:rFonts w:ascii="Times New Roman" w:eastAsia="Times New Roman" w:hAnsi="Times New Roman" w:cs="Times New Roman"/>
        </w:rPr>
        <w:t>2. Body 637 až 723 se přečíslují na 638 až 724.</w:t>
      </w:r>
      <w:r>
        <w:br w:type="page"/>
      </w:r>
    </w:p>
    <w:p w14:paraId="728C37BB" w14:textId="77777777" w:rsidR="00C67749" w:rsidRDefault="00000000">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Odůvodnění</w:t>
      </w:r>
    </w:p>
    <w:p w14:paraId="08430423" w14:textId="77777777" w:rsidR="00C67749" w:rsidRDefault="00C67749">
      <w:pPr>
        <w:spacing w:after="0" w:line="240" w:lineRule="auto"/>
        <w:rPr>
          <w:rFonts w:ascii="Times New Roman" w:eastAsia="Times New Roman" w:hAnsi="Times New Roman" w:cs="Times New Roman"/>
        </w:rPr>
      </w:pPr>
    </w:p>
    <w:p w14:paraId="0E02684B"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Cílem pozměňovacího návrhu je upravit zákon č. 283/2021 Sb., stavební zákon tak, aby nadále nebránil, resp. neztěžoval nepřiměřeně pořádání zotavovacích akcí nebo jiných podobných akcí pro děti, jestliže mají formu stanových táborů. </w:t>
      </w:r>
    </w:p>
    <w:p w14:paraId="0D67B3DB" w14:textId="77777777" w:rsidR="00C67749" w:rsidRDefault="00C67749">
      <w:pPr>
        <w:spacing w:after="0" w:line="240" w:lineRule="auto"/>
        <w:jc w:val="both"/>
        <w:rPr>
          <w:rFonts w:ascii="Times New Roman" w:eastAsia="Times New Roman" w:hAnsi="Times New Roman" w:cs="Times New Roman"/>
        </w:rPr>
      </w:pPr>
    </w:p>
    <w:p w14:paraId="5E6B8B49"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Zotavovací akce a jiné podobné akce pro děti jsou upraveny v zákoně č. 258/2000 Sb., o veřejném zdraví, a naplňují veřejný zájem spočívající v posilování zdraví dětí, zvyšování jejich tělesné zdatnosti, a získávání specifických znalostí nebo dovedností. Představují jednu z nejvýznamnějších a nejrozšířenějších forem mimoškolní výchovy a vzdělání mládeže. </w:t>
      </w:r>
    </w:p>
    <w:p w14:paraId="5ECB483C" w14:textId="77777777" w:rsidR="00C67749" w:rsidRDefault="00C67749">
      <w:pPr>
        <w:spacing w:after="0" w:line="240" w:lineRule="auto"/>
        <w:jc w:val="both"/>
        <w:rPr>
          <w:rFonts w:ascii="Times New Roman" w:eastAsia="Times New Roman" w:hAnsi="Times New Roman" w:cs="Times New Roman"/>
        </w:rPr>
      </w:pPr>
    </w:p>
    <w:p w14:paraId="379F0209"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Stanové tábory pro děti a mládež představují tradiční formu činnosti, resp. výchovy a rekreace dětí a mládeže, jíž se každoročně účastní významná část dětí školního věku. Letní stanové tábory představují také klíčový prvek výchovného konceptu řady organizací, zabývajících se mimoškolní výchovou a vzděláváním mládeže (např. Pionýr, Junák – český skaut, Sdružení hasičů Čech, Moravy a Slezska, Asociace turistických oddílů mládeže, YMCA). </w:t>
      </w:r>
    </w:p>
    <w:p w14:paraId="6A1DDDBF" w14:textId="77777777" w:rsidR="00C67749" w:rsidRDefault="00C67749">
      <w:pPr>
        <w:spacing w:after="0" w:line="240" w:lineRule="auto"/>
        <w:jc w:val="both"/>
        <w:rPr>
          <w:rFonts w:ascii="Times New Roman" w:eastAsia="Times New Roman" w:hAnsi="Times New Roman" w:cs="Times New Roman"/>
        </w:rPr>
      </w:pPr>
    </w:p>
    <w:p w14:paraId="16D0D75C"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Účast na letních táborech dále představuje důležitý způsob zajištění péče o část dětí v době prázdnin (s ohledem na běžnou délku dovolené rodičů). </w:t>
      </w:r>
    </w:p>
    <w:p w14:paraId="64E29845" w14:textId="77777777" w:rsidR="00C67749" w:rsidRDefault="00C67749">
      <w:pPr>
        <w:spacing w:after="0" w:line="240" w:lineRule="auto"/>
        <w:jc w:val="both"/>
        <w:rPr>
          <w:rFonts w:ascii="Times New Roman" w:eastAsia="Times New Roman" w:hAnsi="Times New Roman" w:cs="Times New Roman"/>
        </w:rPr>
      </w:pPr>
    </w:p>
    <w:p w14:paraId="63F88394"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V neposlední řadě v současné době lze aktivity zahrnující pobyt dětí, zejména městských dětí, v přírodě, jejich tělesný a pohybový rozvoj, jež letní tábory v přírodě poskytují, považovat za čím dále důležitější, neboť zmenšují dopady nepříznivých sociálních, sociálně-kulturních a enviromentálních jevů, ohrožujících současnou mládež. </w:t>
      </w:r>
    </w:p>
    <w:p w14:paraId="4FDCAFEA" w14:textId="77777777" w:rsidR="00C67749" w:rsidRDefault="00C67749">
      <w:pPr>
        <w:spacing w:after="0" w:line="240" w:lineRule="auto"/>
        <w:jc w:val="both"/>
        <w:rPr>
          <w:rFonts w:ascii="Times New Roman" w:eastAsia="Times New Roman" w:hAnsi="Times New Roman" w:cs="Times New Roman"/>
        </w:rPr>
      </w:pPr>
    </w:p>
    <w:p w14:paraId="6055741B"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V předchozí stavebně právní úpravě zákonem č. 183/2006 Sb., o územním plánování a stavebním řádu (stavební zákon), i ve starších předchozích zákonech upravujících oblast stavebního práva stanové tábory nebyly upraveny, resp. přístřešky v nich používané byly v „šedé zóně“, prakticky jako zákonem neregulovaný jev. Nový stavební zákon č. 283/2021 Sb. pak nastavil podmínky, které by v praxi vyžadovaly, aby přístřešky tvořící táborové jídelny apod. u stanových táborů byly stavěny na základě povolení stavebním úřadem. Takový přístup stavební úřady zatím nepraktikovaly, ač by podle nynějšího znění zákona měly. Zároveň uplatňování </w:t>
      </w:r>
      <w:proofErr w:type="spellStart"/>
      <w:r>
        <w:rPr>
          <w:rFonts w:ascii="Times New Roman" w:eastAsia="Times New Roman" w:hAnsi="Times New Roman" w:cs="Times New Roman"/>
        </w:rPr>
        <w:t>stavebněprávních</w:t>
      </w:r>
      <w:proofErr w:type="spellEnd"/>
      <w:r>
        <w:rPr>
          <w:rFonts w:ascii="Times New Roman" w:eastAsia="Times New Roman" w:hAnsi="Times New Roman" w:cs="Times New Roman"/>
        </w:rPr>
        <w:t xml:space="preserve"> postupů a norem pro uvedený druh přístřešků nedává z hlediska veřejného zájmu smysl a prakticky by realizaci dětských táborů v tradiční formě znemožnilo. </w:t>
      </w:r>
    </w:p>
    <w:p w14:paraId="49541051" w14:textId="77777777" w:rsidR="00C67749" w:rsidRDefault="00C67749">
      <w:pPr>
        <w:spacing w:after="0" w:line="240" w:lineRule="auto"/>
        <w:jc w:val="both"/>
        <w:rPr>
          <w:rFonts w:ascii="Times New Roman" w:eastAsia="Times New Roman" w:hAnsi="Times New Roman" w:cs="Times New Roman"/>
        </w:rPr>
      </w:pPr>
    </w:p>
    <w:p w14:paraId="3902CB78"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Pozměňovací návrh míří na ty zotavovací akce nebo jiné akce pro děti, které mají formu stanového tábora. Vzhledem k charakteru a účelu stanových táborů pro děti a mládež, které jsou z podstaty věci a v souladu s definicí zotavovací pro děti a mládež podle č. 258/2000 Sb., o ochraně veřejného zdraví, umisťovány do přírodního prostředí, je nezbytné umožnit jejich realizaci i v nezastavitelném území. Z hlediska ochrany nezastavitelného území stanové tábory nepředstavují významnou zátěž, jsou plně srovnatelné svým významem i nízkou (spíše zanedbatelnou) mírou zásahu do území a krajiny s dalšími záměry přípustnými v nezastavitelném území (§ 122 odst. 1). Na rozdíl od jiných záměrů přípustných v nezastavitelném území dle § 122 odst. 1 (např. zázemí lesních mateřských škol), v případě táborů realizovaných tzv. na zelené louce, tj. zřizovaných a využívaných pouze krátkodobě v období letních prázdnin, není přiměřené jejich vznik a dočasné trvání posuzovat nejen z hlediska stavebního práva ale ani z hlediska územní regulace. To je odůvodněno z hlediska veřejného zájmu mimořádně nízkou mírou krajinné významnosti táborových přístřešků v kombinaci s jejich dočasností, která nemá vliv na v principu dlouhodobé veřejné zájmy, zajišťované nástroji územní regulace a plánování.  </w:t>
      </w:r>
    </w:p>
    <w:p w14:paraId="3B447E7B"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 potvrzuje i dlouhodobá zkušenost, když v případě stanových dětských táborů jde o prvky v krajině neproblematicky existující tradičně již od počátku 20. století, které jsou dlouhodobě akceptovány i ve společenském vnímání. </w:t>
      </w:r>
    </w:p>
    <w:p w14:paraId="4DB4FDE3" w14:textId="77777777" w:rsidR="00C67749" w:rsidRDefault="00C67749">
      <w:pPr>
        <w:spacing w:after="0" w:line="240" w:lineRule="auto"/>
        <w:jc w:val="both"/>
        <w:rPr>
          <w:rFonts w:ascii="Times New Roman" w:eastAsia="Times New Roman" w:hAnsi="Times New Roman" w:cs="Times New Roman"/>
        </w:rPr>
      </w:pPr>
    </w:p>
    <w:p w14:paraId="337CD910"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Zároveň požadavky na hygienickou nezávadnost a bezpečnost a požadavky na ochranu vod, které u stanových táborů připadají v úvahu, jsou řešeny zvláštní úpravou v zákoně č. 258/2000 Sb., o ochraně </w:t>
      </w:r>
      <w:r>
        <w:rPr>
          <w:rFonts w:ascii="Times New Roman" w:eastAsia="Times New Roman" w:hAnsi="Times New Roman" w:cs="Times New Roman"/>
        </w:rPr>
        <w:lastRenderedPageBreak/>
        <w:t xml:space="preserve">veřejného zdraví, a zákoně č. 254/2001 Sb., o vodách a o změně některých zákonů, jakož i obecnou a zvláštní úpravou podle předpisů o ochraně přírody a krajiny. </w:t>
      </w:r>
    </w:p>
    <w:p w14:paraId="57A00E5B" w14:textId="77777777" w:rsidR="00C67749" w:rsidRDefault="00C67749">
      <w:pPr>
        <w:spacing w:after="0" w:line="240" w:lineRule="auto"/>
        <w:jc w:val="both"/>
        <w:rPr>
          <w:rFonts w:ascii="Times New Roman" w:eastAsia="Times New Roman" w:hAnsi="Times New Roman" w:cs="Times New Roman"/>
        </w:rPr>
      </w:pPr>
    </w:p>
    <w:p w14:paraId="3253A734"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Z hlediska stavebně technických charakteristik je zařazení mezi drobné stavby odůvodněno (a zároveň limitováno) parametry zcela obdobnými, jako u dalších drobných staveb (celková zastavěná plocha do 60 m2, bez podsklepení, s nejvýše jedním nadzemním podlažím) – parametry jsou shodné jako v již existující úpravě zázemí pro jinou formu mimoškolního vzdělávání (lesní mateřské školky) v bodu 27. </w:t>
      </w:r>
    </w:p>
    <w:p w14:paraId="4E42502E"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Definice doplňovaného typu drobné stavby je dále doplněna o účelové omezení, které spočívá v kombinaci dvou podmínek: </w:t>
      </w:r>
    </w:p>
    <w:p w14:paraId="610AC9D4"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1) jde o příslušenství výhradně pro </w:t>
      </w:r>
      <w:r>
        <w:rPr>
          <w:rFonts w:ascii="Times New Roman" w:eastAsia="Times New Roman" w:hAnsi="Times New Roman" w:cs="Times New Roman"/>
          <w:i/>
          <w:iCs/>
        </w:rPr>
        <w:t>zotavovací akci</w:t>
      </w:r>
      <w:r>
        <w:rPr>
          <w:rFonts w:ascii="Times New Roman" w:eastAsia="Times New Roman" w:hAnsi="Times New Roman" w:cs="Times New Roman"/>
        </w:rPr>
        <w:t xml:space="preserve"> nebo </w:t>
      </w:r>
      <w:r>
        <w:rPr>
          <w:rFonts w:ascii="Times New Roman" w:eastAsia="Times New Roman" w:hAnsi="Times New Roman" w:cs="Times New Roman"/>
          <w:i/>
          <w:iCs/>
        </w:rPr>
        <w:t>jinou podobnou akci</w:t>
      </w:r>
      <w:r>
        <w:rPr>
          <w:rFonts w:ascii="Times New Roman" w:eastAsia="Times New Roman" w:hAnsi="Times New Roman" w:cs="Times New Roman"/>
        </w:rPr>
        <w:t xml:space="preserve">, které jsou definovány a naplňují konkrétní veřejný zájem stanovený v § 8 odst. 1 a § 12 zákona č. 258/2000 Sb., o ochraně veřejného zdraví, </w:t>
      </w:r>
    </w:p>
    <w:p w14:paraId="75EDB10A"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2) a zároveň tyto zotavovací či jiné podobné akce mají charakter stanového tábora. </w:t>
      </w:r>
    </w:p>
    <w:p w14:paraId="3AADC378" w14:textId="77777777" w:rsidR="00C67749" w:rsidRDefault="00C67749">
      <w:pPr>
        <w:spacing w:after="0" w:line="240" w:lineRule="auto"/>
        <w:jc w:val="both"/>
        <w:rPr>
          <w:rFonts w:ascii="Times New Roman" w:eastAsia="Times New Roman" w:hAnsi="Times New Roman" w:cs="Times New Roman"/>
        </w:rPr>
      </w:pPr>
    </w:p>
    <w:p w14:paraId="3730AFBB"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Kumulace obou podmínek zajišťuje, že úprava omezena na akce mimoškolního vzdělávání, u nichž je skutečně dán jejich charakter i veřejný zájem na jejich konání – jde o stanové tábory, v nichž se realizuje mimoškolní výchova mládeže. Zvolená kritéria naopak nezahrnují stavby, např. stavby komerčních rekreačních zařízení, kempových areálů, prodejních stánků apod., ale ani stavby pro zotavovací akce pro děti komplexnějšího typu např. v chatkových táborech, v různých formách ubytoven, srubech atd., u nichž není na místě využívané stavby vyjímat z běžného režimu stavebního zákona. </w:t>
      </w:r>
    </w:p>
    <w:p w14:paraId="61D26A4E" w14:textId="77777777" w:rsidR="00C67749" w:rsidRDefault="00C67749">
      <w:pPr>
        <w:spacing w:after="0" w:line="240" w:lineRule="auto"/>
        <w:jc w:val="both"/>
        <w:rPr>
          <w:rFonts w:ascii="Times New Roman" w:eastAsia="Times New Roman" w:hAnsi="Times New Roman" w:cs="Times New Roman"/>
        </w:rPr>
      </w:pPr>
    </w:p>
    <w:p w14:paraId="60451637" w14:textId="77777777" w:rsidR="00C67749" w:rsidRDefault="00C67749">
      <w:pPr>
        <w:spacing w:after="0" w:line="240" w:lineRule="auto"/>
        <w:jc w:val="both"/>
        <w:rPr>
          <w:rFonts w:ascii="Times New Roman" w:eastAsia="Times New Roman" w:hAnsi="Times New Roman" w:cs="Times New Roman"/>
        </w:rPr>
      </w:pPr>
    </w:p>
    <w:p w14:paraId="55721AB0" w14:textId="77777777" w:rsidR="00C67749" w:rsidRDefault="00000000">
      <w:pPr>
        <w:spacing w:after="0" w:line="240" w:lineRule="auto"/>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Informace ve smyslu § 12 odst. 5 zákona č. 168/2025 Sb., o regulaci lobbování:  </w:t>
      </w:r>
    </w:p>
    <w:p w14:paraId="1576C28F" w14:textId="77777777" w:rsidR="00C67749"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Tento pozměňovací návrh byl iniciován Českou radou dětí a mládeže, která je střešní organizací působící v oblasti mimoškolního vzdělávání, sdružující většinu celostátních organizací dětí a mládeže, a to více než 100 členských organizací s více než 250 000 individuálními členy. Ve smyslu zákona č. 168/2025 Sb., o regulaci lobbování, byla Česká rada dětí a mládeže v postavení lobbisty, který lobboval při přípravě, projednávání a schvalování tohoto pozměňovacího návrhu, s cílem zejména upravit požadavky stavebního zákona tak, aby neznemožňoval a neztěžoval nepřiměřeně realizaci letních táborů dětí a mládeže v osvědčené a rozšířené formě. </w:t>
      </w:r>
    </w:p>
    <w:p w14:paraId="08129BA7" w14:textId="77777777" w:rsidR="00C67749" w:rsidRDefault="00C67749">
      <w:pPr>
        <w:spacing w:after="0" w:line="240" w:lineRule="auto"/>
        <w:rPr>
          <w:rFonts w:ascii="Times New Roman" w:eastAsia="Times New Roman" w:hAnsi="Times New Roman" w:cs="Times New Roman"/>
        </w:rPr>
      </w:pPr>
    </w:p>
    <w:p w14:paraId="4CEA15E2" w14:textId="77777777" w:rsidR="00C67749" w:rsidRDefault="00C67749">
      <w:pPr>
        <w:spacing w:after="0" w:line="240" w:lineRule="auto"/>
        <w:rPr>
          <w:rFonts w:ascii="Times New Roman" w:eastAsia="Times New Roman" w:hAnsi="Times New Roman" w:cs="Times New Roman"/>
        </w:rPr>
      </w:pPr>
    </w:p>
    <w:p w14:paraId="4B564C21" w14:textId="77777777" w:rsidR="00C67749" w:rsidRDefault="00C67749">
      <w:pPr>
        <w:spacing w:after="0" w:line="240" w:lineRule="auto"/>
        <w:rPr>
          <w:rFonts w:ascii="Times New Roman" w:eastAsia="Times New Roman" w:hAnsi="Times New Roman" w:cs="Times New Roman"/>
          <w:b/>
          <w:bCs/>
          <w:sz w:val="24"/>
          <w:szCs w:val="24"/>
        </w:rPr>
      </w:pPr>
    </w:p>
    <w:p w14:paraId="48B35D56" w14:textId="77777777" w:rsidR="00C67749" w:rsidRDefault="00000000">
      <w:pPr>
        <w:rPr>
          <w:rFonts w:ascii="Times New Roman" w:eastAsia="Times New Roman" w:hAnsi="Times New Roman" w:cs="Times New Roman"/>
          <w:b/>
          <w:bCs/>
          <w:sz w:val="24"/>
          <w:szCs w:val="24"/>
        </w:rPr>
      </w:pPr>
      <w:r>
        <w:br w:type="page"/>
      </w:r>
    </w:p>
    <w:p w14:paraId="241093CC" w14:textId="77777777" w:rsidR="00C67749" w:rsidRDefault="00C67749">
      <w:pPr>
        <w:spacing w:after="0" w:line="240" w:lineRule="auto"/>
        <w:rPr>
          <w:rFonts w:ascii="Times New Roman" w:eastAsia="Times New Roman" w:hAnsi="Times New Roman" w:cs="Times New Roman"/>
          <w:b/>
          <w:bCs/>
          <w:sz w:val="24"/>
          <w:szCs w:val="24"/>
        </w:rPr>
      </w:pPr>
    </w:p>
    <w:p w14:paraId="2B02ADA3" w14:textId="77777777" w:rsidR="00C67749"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zákon č. 283/2021 Sb., stavební zákon</w:t>
      </w:r>
    </w:p>
    <w:p w14:paraId="20CC065B" w14:textId="77777777" w:rsidR="00C67749" w:rsidRDefault="00000000">
      <w:pPr>
        <w:spacing w:after="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Platné znění zákona č. 283/2021 Sb., stavební zákon, s vyznačením navrhovaných změn (dle ST 67/0)</w:t>
      </w:r>
    </w:p>
    <w:p w14:paraId="4E1C971E" w14:textId="77777777" w:rsidR="00C67749" w:rsidRDefault="00000000">
      <w:pPr>
        <w:spacing w:before="200" w:after="200" w:line="27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 xml:space="preserve">[změny provedené návrhem zákona ČERNĚ, změny provedené pozměňovacím návrhem </w:t>
      </w:r>
      <w:r>
        <w:rPr>
          <w:rFonts w:ascii="Times New Roman" w:eastAsia="Times New Roman" w:hAnsi="Times New Roman" w:cs="Times New Roman"/>
          <w:b/>
          <w:bCs/>
          <w:color w:val="FF0000"/>
          <w:sz w:val="24"/>
          <w:szCs w:val="24"/>
          <w:u w:val="single"/>
        </w:rPr>
        <w:t>ČERVENĚ</w:t>
      </w:r>
      <w:r>
        <w:rPr>
          <w:rFonts w:ascii="Times New Roman" w:eastAsia="Times New Roman" w:hAnsi="Times New Roman" w:cs="Times New Roman"/>
          <w:b/>
          <w:bCs/>
          <w:sz w:val="24"/>
          <w:szCs w:val="24"/>
          <w:u w:val="single"/>
        </w:rPr>
        <w:t>]</w:t>
      </w:r>
    </w:p>
    <w:p w14:paraId="39DE2D5F" w14:textId="77777777" w:rsidR="00C67749" w:rsidRDefault="00C67749">
      <w:pPr>
        <w:spacing w:after="0" w:line="240" w:lineRule="auto"/>
        <w:rPr>
          <w:rFonts w:ascii="Times New Roman" w:eastAsia="Times New Roman" w:hAnsi="Times New Roman" w:cs="Times New Roman"/>
          <w:b/>
          <w:bCs/>
          <w:strike/>
          <w:sz w:val="24"/>
          <w:szCs w:val="24"/>
        </w:rPr>
      </w:pPr>
    </w:p>
    <w:p w14:paraId="1B7F5654" w14:textId="77777777" w:rsidR="00C67749"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Příloha č. 1 k zákonu č. 283/2021 Sb.</w:t>
      </w:r>
    </w:p>
    <w:p w14:paraId="7F1F8C8F" w14:textId="77777777" w:rsidR="00C67749"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Drobné stavby</w:t>
      </w:r>
    </w:p>
    <w:p w14:paraId="7860450E" w14:textId="77777777" w:rsidR="00C6774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Drobnými stavbami jsou</w:t>
      </w:r>
    </w:p>
    <w:p w14:paraId="204614B6" w14:textId="77777777" w:rsidR="00C6774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stavby nebo zařízení a </w:t>
      </w:r>
      <w:r>
        <w:rPr>
          <w:rFonts w:ascii="Times New Roman" w:eastAsia="Times New Roman" w:hAnsi="Times New Roman" w:cs="Times New Roman"/>
          <w:b/>
          <w:bCs/>
          <w:sz w:val="24"/>
          <w:szCs w:val="24"/>
        </w:rPr>
        <w:t xml:space="preserve">s nimi související terénní úpravy a </w:t>
      </w:r>
      <w:r>
        <w:rPr>
          <w:rFonts w:ascii="Times New Roman" w:eastAsia="Times New Roman" w:hAnsi="Times New Roman" w:cs="Times New Roman"/>
          <w:sz w:val="24"/>
          <w:szCs w:val="24"/>
        </w:rPr>
        <w:t>jejich údržba, a to</w:t>
      </w:r>
    </w:p>
    <w:p w14:paraId="3B954FE0" w14:textId="77777777" w:rsidR="00C67749" w:rsidRDefault="00000000">
      <w:pPr>
        <w:widowControl w:val="0"/>
        <w:pBdr>
          <w:top w:val="nil"/>
          <w:left w:val="nil"/>
          <w:bottom w:val="nil"/>
          <w:right w:val="nil"/>
          <w:between w:val="nil"/>
        </w:pBdr>
        <w:spacing w:before="120" w:after="120" w:line="276" w:lineRule="auto"/>
        <w:jc w:val="both"/>
        <w:rPr>
          <w:rFonts w:ascii="Times New Roman" w:eastAsia="Times New Roman" w:hAnsi="Times New Roman" w:cs="Times New Roman"/>
          <w:color w:val="000000"/>
          <w:sz w:val="24"/>
          <w:szCs w:val="24"/>
        </w:rPr>
      </w:pPr>
      <w:bookmarkStart w:id="1" w:name="_heading=h.eaatf3h2zz85" w:colFirst="0" w:colLast="0"/>
      <w:bookmarkEnd w:id="1"/>
      <w:r>
        <w:rPr>
          <w:rFonts w:ascii="Times New Roman" w:eastAsia="Times New Roman" w:hAnsi="Times New Roman" w:cs="Times New Roman"/>
          <w:color w:val="000000"/>
          <w:sz w:val="24"/>
          <w:szCs w:val="24"/>
        </w:rPr>
        <w:t>1. stavba do 40 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zastavěné plochy a do 5 m výšky s nejvýše jedním nadzemním podlažím </w:t>
      </w:r>
      <w:r>
        <w:rPr>
          <w:rFonts w:ascii="Times New Roman" w:eastAsia="Times New Roman" w:hAnsi="Times New Roman" w:cs="Times New Roman"/>
          <w:b/>
          <w:bCs/>
          <w:color w:val="000000"/>
          <w:sz w:val="24"/>
          <w:szCs w:val="24"/>
        </w:rPr>
        <w:t>a podkrovím</w:t>
      </w:r>
      <w:r>
        <w:rPr>
          <w:rFonts w:ascii="Times New Roman" w:eastAsia="Times New Roman" w:hAnsi="Times New Roman" w:cs="Times New Roman"/>
          <w:color w:val="000000"/>
          <w:sz w:val="24"/>
          <w:szCs w:val="24"/>
        </w:rPr>
        <w:t xml:space="preserve">, podsklepená nejvýše do hloubky 3 m, </w:t>
      </w:r>
      <w:r>
        <w:rPr>
          <w:rFonts w:ascii="Times New Roman" w:eastAsia="Times New Roman" w:hAnsi="Times New Roman" w:cs="Times New Roman"/>
          <w:strike/>
          <w:color w:val="000000"/>
          <w:sz w:val="24"/>
          <w:szCs w:val="24"/>
        </w:rPr>
        <w:t xml:space="preserve">na pozemku rodinného domu nebo stavby pro rodinnou rekreaci </w:t>
      </w:r>
      <w:r>
        <w:rPr>
          <w:rFonts w:ascii="Times New Roman" w:eastAsia="Times New Roman" w:hAnsi="Times New Roman" w:cs="Times New Roman"/>
          <w:b/>
          <w:bCs/>
          <w:color w:val="000000"/>
          <w:sz w:val="24"/>
          <w:szCs w:val="24"/>
        </w:rPr>
        <w:t>na pozemku</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zázemí domu</w:t>
      </w:r>
      <w:r>
        <w:rPr>
          <w:rFonts w:ascii="Times New Roman" w:eastAsia="Times New Roman" w:hAnsi="Times New Roman" w:cs="Times New Roman"/>
          <w:color w:val="000000"/>
          <w:sz w:val="24"/>
          <w:szCs w:val="24"/>
        </w:rPr>
        <w:t xml:space="preserve">, která souvisí s bydlením nebo rodinnou rekreací, a nejde o stavbu pro podnikatelskou činnost, která je umisťována v odstupové vzdálenosti od hranic pozemků nejméně 2 m a plocha části pozemku schopného vsakovat dešťové vody po jejím umístění bude nejméně 50 % z celkové </w:t>
      </w:r>
      <w:r>
        <w:rPr>
          <w:rFonts w:ascii="Times New Roman" w:eastAsia="Times New Roman" w:hAnsi="Times New Roman" w:cs="Times New Roman"/>
          <w:strike/>
          <w:color w:val="000000"/>
          <w:sz w:val="24"/>
          <w:szCs w:val="24"/>
        </w:rPr>
        <w:t>plochy pozemku</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trike/>
          <w:color w:val="000000"/>
          <w:sz w:val="24"/>
          <w:szCs w:val="24"/>
        </w:rPr>
        <w:t xml:space="preserve">rodinného domu nebo stavby pro rodinnou rekreaci </w:t>
      </w:r>
      <w:r>
        <w:rPr>
          <w:rFonts w:ascii="Times New Roman" w:eastAsia="Times New Roman" w:hAnsi="Times New Roman" w:cs="Times New Roman"/>
          <w:b/>
          <w:bCs/>
          <w:color w:val="000000"/>
          <w:sz w:val="24"/>
          <w:szCs w:val="24"/>
        </w:rPr>
        <w:t>plochy pozemku</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zázemí domu</w:t>
      </w:r>
      <w:r>
        <w:rPr>
          <w:rFonts w:ascii="Times New Roman" w:eastAsia="Times New Roman" w:hAnsi="Times New Roman" w:cs="Times New Roman"/>
          <w:color w:val="000000"/>
          <w:sz w:val="24"/>
          <w:szCs w:val="24"/>
        </w:rPr>
        <w:t>,</w:t>
      </w:r>
    </w:p>
    <w:p w14:paraId="6A262255" w14:textId="77777777" w:rsidR="00C67749" w:rsidRDefault="00000000">
      <w:pPr>
        <w:jc w:val="both"/>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p>
    <w:p w14:paraId="54000E8A" w14:textId="77777777" w:rsidR="00C677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cyan"/>
        </w:rPr>
        <w:t>27</w:t>
      </w:r>
      <w:r>
        <w:rPr>
          <w:rFonts w:ascii="Times New Roman" w:eastAsia="Times New Roman" w:hAnsi="Times New Roman" w:cs="Times New Roman"/>
          <w:sz w:val="24"/>
          <w:szCs w:val="24"/>
        </w:rPr>
        <w:t xml:space="preserve">. zázemí lesní mateřské školy a výdejny lesní mateřské školy o celkové zastavěné ploše všech staveb do </w:t>
      </w:r>
      <w:r>
        <w:rPr>
          <w:rFonts w:ascii="Times New Roman" w:eastAsia="Times New Roman" w:hAnsi="Times New Roman" w:cs="Times New Roman"/>
          <w:strike/>
          <w:sz w:val="24"/>
          <w:szCs w:val="24"/>
        </w:rPr>
        <w:t xml:space="preserve">55 </w:t>
      </w:r>
      <w:r>
        <w:rPr>
          <w:rFonts w:ascii="Times New Roman" w:eastAsia="Times New Roman" w:hAnsi="Times New Roman" w:cs="Times New Roman"/>
          <w:b/>
          <w:bCs/>
          <w:sz w:val="24"/>
          <w:szCs w:val="24"/>
        </w:rPr>
        <w:t xml:space="preserve">60 </w:t>
      </w:r>
      <w:r>
        <w:rPr>
          <w:rFonts w:ascii="Times New Roman" w:eastAsia="Times New Roman" w:hAnsi="Times New Roman" w:cs="Times New Roman"/>
          <w:sz w:val="24"/>
          <w:szCs w:val="24"/>
        </w:rPr>
        <w:t>m</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s výjimkou hygienického zařízení, bez podsklepení, s nejvýše jedním nadzemním podlažím,</w:t>
      </w:r>
    </w:p>
    <w:p w14:paraId="213AA10C" w14:textId="77777777" w:rsidR="00C67749" w:rsidRDefault="00C67749">
      <w:pPr>
        <w:spacing w:after="0" w:line="240" w:lineRule="auto"/>
        <w:jc w:val="both"/>
        <w:rPr>
          <w:rFonts w:ascii="Times New Roman" w:eastAsia="Times New Roman" w:hAnsi="Times New Roman" w:cs="Times New Roman"/>
          <w:sz w:val="24"/>
          <w:szCs w:val="24"/>
        </w:rPr>
      </w:pPr>
    </w:p>
    <w:p w14:paraId="614105D3" w14:textId="77777777" w:rsidR="00C67749" w:rsidRDefault="00000000">
      <w:pPr>
        <w:spacing w:after="0" w:line="24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highlight w:val="cyan"/>
          <w:u w:val="single"/>
        </w:rPr>
        <w:t>28</w:t>
      </w:r>
      <w:r>
        <w:rPr>
          <w:rFonts w:ascii="Times New Roman" w:eastAsia="Times New Roman" w:hAnsi="Times New Roman" w:cs="Times New Roman"/>
          <w:b/>
          <w:bCs/>
          <w:sz w:val="24"/>
          <w:szCs w:val="24"/>
          <w:u w:val="single"/>
        </w:rPr>
        <w:t>.</w:t>
      </w:r>
      <w:r>
        <w:rPr>
          <w:rFonts w:ascii="Times New Roman" w:eastAsia="Times New Roman" w:hAnsi="Times New Roman" w:cs="Times New Roman"/>
          <w:b/>
          <w:bCs/>
          <w:color w:val="FF0000"/>
          <w:sz w:val="24"/>
          <w:szCs w:val="24"/>
          <w:u w:val="single"/>
        </w:rPr>
        <w:t xml:space="preserve"> zázemí zotavovací akce nebo jiné podobné akce pro </w:t>
      </w:r>
      <w:proofErr w:type="spellStart"/>
      <w:r>
        <w:rPr>
          <w:rFonts w:ascii="Times New Roman" w:eastAsia="Times New Roman" w:hAnsi="Times New Roman" w:cs="Times New Roman"/>
          <w:b/>
          <w:bCs/>
          <w:color w:val="FF0000"/>
          <w:sz w:val="24"/>
          <w:szCs w:val="24"/>
          <w:u w:val="single"/>
        </w:rPr>
        <w:t>děti</w:t>
      </w:r>
      <w:r>
        <w:rPr>
          <w:rFonts w:ascii="Times New Roman" w:eastAsia="Times New Roman" w:hAnsi="Times New Roman" w:cs="Times New Roman"/>
          <w:b/>
          <w:bCs/>
          <w:color w:val="FF0000"/>
          <w:sz w:val="24"/>
          <w:szCs w:val="24"/>
          <w:highlight w:val="cyan"/>
          <w:u w:val="single"/>
          <w:vertAlign w:val="superscript"/>
        </w:rPr>
        <w:t>XX</w:t>
      </w:r>
      <w:proofErr w:type="spellEnd"/>
      <w:r>
        <w:rPr>
          <w:rFonts w:ascii="Times New Roman" w:eastAsia="Times New Roman" w:hAnsi="Times New Roman" w:cs="Times New Roman"/>
          <w:b/>
          <w:bCs/>
          <w:color w:val="FF0000"/>
          <w:sz w:val="24"/>
          <w:szCs w:val="24"/>
          <w:u w:val="single"/>
          <w:vertAlign w:val="superscript"/>
        </w:rPr>
        <w:t>)</w:t>
      </w:r>
      <w:r>
        <w:rPr>
          <w:rFonts w:ascii="Times New Roman" w:eastAsia="Times New Roman" w:hAnsi="Times New Roman" w:cs="Times New Roman"/>
          <w:b/>
          <w:bCs/>
          <w:color w:val="FF0000"/>
          <w:sz w:val="24"/>
          <w:szCs w:val="24"/>
          <w:u w:val="single"/>
        </w:rPr>
        <w:t xml:space="preserve"> tvořené přístřešky o celkové zastavěné ploše všech staveb do 60 m</w:t>
      </w:r>
      <w:r>
        <w:rPr>
          <w:rFonts w:ascii="Times New Roman" w:eastAsia="Times New Roman" w:hAnsi="Times New Roman" w:cs="Times New Roman"/>
          <w:b/>
          <w:bCs/>
          <w:color w:val="FF0000"/>
          <w:sz w:val="24"/>
          <w:szCs w:val="24"/>
          <w:u w:val="single"/>
          <w:vertAlign w:val="superscript"/>
        </w:rPr>
        <w:t>2</w:t>
      </w:r>
      <w:r>
        <w:rPr>
          <w:rFonts w:ascii="Times New Roman" w:eastAsia="Times New Roman" w:hAnsi="Times New Roman" w:cs="Times New Roman"/>
          <w:b/>
          <w:bCs/>
          <w:color w:val="FF0000"/>
          <w:sz w:val="24"/>
          <w:szCs w:val="24"/>
          <w:u w:val="single"/>
        </w:rPr>
        <w:t>, s výjimkou hygienického zařízení, bez podsklepení, s nejvýše jedním nadzemním podlažím, je-li ubytování účastníků takové akce zajištěno výhradně ve stanech; takové přístřešky se za stavbu ani za drobnou stavbu nepovažují, jsou-li pro uvedený účel využívány pouze mimo období školního vyučování,</w:t>
      </w:r>
      <w:r>
        <w:rPr>
          <w:rFonts w:ascii="Times New Roman" w:eastAsia="Times New Roman" w:hAnsi="Times New Roman" w:cs="Times New Roman"/>
          <w:b/>
          <w:bCs/>
          <w:sz w:val="24"/>
          <w:szCs w:val="24"/>
          <w:u w:val="single"/>
        </w:rPr>
        <w:t xml:space="preserve"> </w:t>
      </w:r>
    </w:p>
    <w:p w14:paraId="16895FE6" w14:textId="77777777" w:rsidR="00C67749" w:rsidRDefault="00C67749">
      <w:pPr>
        <w:spacing w:after="0" w:line="240" w:lineRule="auto"/>
        <w:jc w:val="both"/>
        <w:rPr>
          <w:rFonts w:ascii="Times New Roman" w:eastAsia="Times New Roman" w:hAnsi="Times New Roman" w:cs="Times New Roman"/>
          <w:sz w:val="24"/>
          <w:szCs w:val="24"/>
          <w:u w:val="single"/>
        </w:rPr>
      </w:pPr>
    </w:p>
    <w:p w14:paraId="2F30B1C7" w14:textId="77777777" w:rsidR="00C67749" w:rsidRDefault="00000000">
      <w:pPr>
        <w:spacing w:after="0" w:line="240" w:lineRule="auto"/>
        <w:jc w:val="both"/>
        <w:rPr>
          <w:rFonts w:ascii="Times New Roman" w:eastAsia="Times New Roman" w:hAnsi="Times New Roman" w:cs="Times New Roman"/>
          <w:color w:val="FF0000"/>
          <w:sz w:val="24"/>
          <w:szCs w:val="24"/>
          <w:u w:val="single"/>
        </w:rPr>
      </w:pPr>
      <w:r>
        <w:rPr>
          <w:rFonts w:ascii="Times New Roman" w:eastAsia="Times New Roman" w:hAnsi="Times New Roman" w:cs="Times New Roman"/>
          <w:color w:val="FF0000"/>
          <w:sz w:val="24"/>
          <w:szCs w:val="24"/>
          <w:u w:val="single"/>
        </w:rPr>
        <w:t>_____________________</w:t>
      </w:r>
    </w:p>
    <w:p w14:paraId="7A20F41C" w14:textId="77777777" w:rsidR="00C67749" w:rsidRDefault="00000000">
      <w:pPr>
        <w:spacing w:after="0" w:line="240" w:lineRule="auto"/>
        <w:jc w:val="both"/>
        <w:rPr>
          <w:rFonts w:ascii="Times New Roman" w:eastAsia="Times New Roman" w:hAnsi="Times New Roman" w:cs="Times New Roman"/>
          <w:b/>
          <w:bCs/>
          <w:color w:val="FF0000"/>
        </w:rPr>
      </w:pPr>
      <w:r>
        <w:rPr>
          <w:rFonts w:ascii="Times New Roman" w:eastAsia="Times New Roman" w:hAnsi="Times New Roman" w:cs="Times New Roman"/>
          <w:b/>
          <w:bCs/>
          <w:color w:val="FF0000"/>
          <w:highlight w:val="cyan"/>
          <w:u w:val="single"/>
          <w:vertAlign w:val="superscript"/>
        </w:rPr>
        <w:t>XX</w:t>
      </w:r>
      <w:r>
        <w:rPr>
          <w:rFonts w:ascii="Times New Roman" w:eastAsia="Times New Roman" w:hAnsi="Times New Roman" w:cs="Times New Roman"/>
          <w:b/>
          <w:bCs/>
          <w:color w:val="FF0000"/>
          <w:u w:val="single"/>
          <w:vertAlign w:val="superscript"/>
        </w:rPr>
        <w:t>)</w:t>
      </w:r>
      <w:r>
        <w:rPr>
          <w:rFonts w:ascii="Times New Roman" w:eastAsia="Times New Roman" w:hAnsi="Times New Roman" w:cs="Times New Roman"/>
          <w:b/>
          <w:bCs/>
          <w:color w:val="FF0000"/>
          <w:u w:val="single"/>
        </w:rPr>
        <w:t xml:space="preserve"> § 8 odst. 1, § 12 zákona č. 258/2000 Sb., o ochraně veřejného zdraví, ve znění pozdějších předpisů. </w:t>
      </w:r>
      <w:r>
        <w:rPr>
          <w:rFonts w:ascii="Times New Roman" w:eastAsia="Times New Roman" w:hAnsi="Times New Roman" w:cs="Times New Roman"/>
          <w:b/>
          <w:bCs/>
          <w:color w:val="FF0000"/>
        </w:rPr>
        <w:t xml:space="preserve"> </w:t>
      </w:r>
    </w:p>
    <w:p w14:paraId="5D41C7B0" w14:textId="77777777" w:rsidR="00C67749" w:rsidRDefault="00C67749">
      <w:pPr>
        <w:spacing w:after="0" w:line="240" w:lineRule="auto"/>
        <w:jc w:val="both"/>
        <w:rPr>
          <w:rFonts w:ascii="Times New Roman" w:eastAsia="Times New Roman" w:hAnsi="Times New Roman" w:cs="Times New Roman"/>
          <w:sz w:val="24"/>
          <w:szCs w:val="24"/>
        </w:rPr>
      </w:pPr>
    </w:p>
    <w:p w14:paraId="3F968BF8" w14:textId="77777777" w:rsidR="00C67749"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trike/>
          <w:sz w:val="24"/>
          <w:szCs w:val="24"/>
          <w:highlight w:val="cyan"/>
          <w:u w:val="single"/>
        </w:rPr>
        <w:t>28</w:t>
      </w:r>
      <w:r>
        <w:rPr>
          <w:rFonts w:ascii="Times New Roman" w:eastAsia="Times New Roman" w:hAnsi="Times New Roman" w:cs="Times New Roman"/>
          <w:b/>
          <w:bCs/>
          <w:color w:val="FF0000"/>
          <w:sz w:val="24"/>
          <w:szCs w:val="24"/>
          <w:highlight w:val="cyan"/>
          <w:u w:val="single"/>
        </w:rPr>
        <w:t>29</w:t>
      </w:r>
      <w:r>
        <w:rPr>
          <w:rFonts w:ascii="Times New Roman" w:eastAsia="Times New Roman" w:hAnsi="Times New Roman" w:cs="Times New Roman"/>
          <w:sz w:val="24"/>
          <w:szCs w:val="24"/>
        </w:rPr>
        <w:t xml:space="preserve">.  připojení k distribuční soustavě pomocí elektrické přípojky nebo smyčky, to vše v hladině nízkého napětí </w:t>
      </w:r>
      <w:r>
        <w:rPr>
          <w:rFonts w:ascii="Times New Roman" w:eastAsia="Times New Roman" w:hAnsi="Times New Roman" w:cs="Times New Roman"/>
          <w:i/>
          <w:iCs/>
          <w:sz w:val="24"/>
          <w:szCs w:val="24"/>
        </w:rPr>
        <w:t>(…)</w:t>
      </w:r>
    </w:p>
    <w:p w14:paraId="0D848B8E" w14:textId="77777777" w:rsidR="00C67749" w:rsidRDefault="00000000">
      <w:pPr>
        <w:widowControl w:val="0"/>
        <w:pBdr>
          <w:top w:val="nil"/>
          <w:left w:val="nil"/>
          <w:bottom w:val="nil"/>
          <w:right w:val="nil"/>
          <w:between w:val="nil"/>
        </w:pBdr>
        <w:spacing w:before="120" w:after="120" w:line="276"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p>
    <w:sectPr w:rsidR="00C67749">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embedRegular r:id="rId1" w:fontKey="{2E477055-7471-401B-8696-78A3AFE15F97}"/>
    <w:embedBold r:id="rId2" w:fontKey="{2CC32757-E035-4F59-AB3D-49D8B82629CC}"/>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E95A6820-8683-4E36-AA0D-4DB74A5E14D3}"/>
  </w:font>
  <w:font w:name="Cambria">
    <w:panose1 w:val="02040503050406030204"/>
    <w:charset w:val="EE"/>
    <w:family w:val="roman"/>
    <w:pitch w:val="variable"/>
    <w:sig w:usb0="E00006FF" w:usb1="420024FF" w:usb2="02000000" w:usb3="00000000" w:csb0="0000019F" w:csb1="00000000"/>
    <w:embedRegular r:id="rId4" w:fontKey="{0ACAA6E7-A8A9-4C3F-B55E-9A1BB1EDFB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749"/>
    <w:rsid w:val="007E1D79"/>
    <w:rsid w:val="009577CA"/>
    <w:rsid w:val="00C67749"/>
    <w:rsid w:val="00E8730D"/>
    <w:rsid w:val="00F2093C"/>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2BE81"/>
  <w15:docId w15:val="{6F728246-256D-44B1-A602-78DA88CAB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s" w:eastAsia="cs-C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pacing w:before="480" w:after="120"/>
      <w:outlineLvl w:val="0"/>
    </w:pPr>
    <w:rPr>
      <w:b/>
      <w:bCs/>
      <w:sz w:val="48"/>
      <w:szCs w:val="48"/>
    </w:rPr>
  </w:style>
  <w:style w:type="paragraph" w:styleId="Nadpis2">
    <w:name w:val="heading 2"/>
    <w:basedOn w:val="Normln"/>
    <w:next w:val="Normln"/>
    <w:uiPriority w:val="9"/>
    <w:semiHidden/>
    <w:unhideWhenUsed/>
    <w:qFormat/>
    <w:pPr>
      <w:keepNext/>
      <w:keepLines/>
      <w:spacing w:before="360" w:after="80"/>
      <w:outlineLvl w:val="1"/>
    </w:pPr>
    <w:rPr>
      <w:b/>
      <w:bCs/>
      <w:sz w:val="36"/>
      <w:szCs w:val="36"/>
    </w:rPr>
  </w:style>
  <w:style w:type="paragraph" w:styleId="Nadpis3">
    <w:name w:val="heading 3"/>
    <w:basedOn w:val="Normln"/>
    <w:next w:val="Normln"/>
    <w:uiPriority w:val="9"/>
    <w:semiHidden/>
    <w:unhideWhenUsed/>
    <w:qFormat/>
    <w:pPr>
      <w:keepNext/>
      <w:keepLines/>
      <w:spacing w:before="280" w:after="80"/>
      <w:outlineLvl w:val="2"/>
    </w:pPr>
    <w:rPr>
      <w:b/>
      <w:bCs/>
      <w:sz w:val="28"/>
      <w:szCs w:val="28"/>
    </w:rPr>
  </w:style>
  <w:style w:type="paragraph" w:styleId="Nadpis4">
    <w:name w:val="heading 4"/>
    <w:basedOn w:val="Normln"/>
    <w:next w:val="Normln"/>
    <w:uiPriority w:val="9"/>
    <w:semiHidden/>
    <w:unhideWhenUsed/>
    <w:qFormat/>
    <w:pPr>
      <w:keepNext/>
      <w:keepLines/>
      <w:spacing w:before="240" w:after="40"/>
      <w:outlineLvl w:val="3"/>
    </w:pPr>
    <w:rPr>
      <w:b/>
      <w:bCs/>
      <w:sz w:val="24"/>
      <w:szCs w:val="24"/>
    </w:rPr>
  </w:style>
  <w:style w:type="paragraph" w:styleId="Nadpis5">
    <w:name w:val="heading 5"/>
    <w:basedOn w:val="Normln"/>
    <w:next w:val="Normln"/>
    <w:uiPriority w:val="9"/>
    <w:semiHidden/>
    <w:unhideWhenUsed/>
    <w:qFormat/>
    <w:pPr>
      <w:keepNext/>
      <w:keepLines/>
      <w:spacing w:before="220" w:after="40"/>
      <w:outlineLvl w:val="4"/>
    </w:pPr>
    <w:rPr>
      <w:b/>
      <w:bCs/>
    </w:rPr>
  </w:style>
  <w:style w:type="paragraph" w:styleId="Nadpis6">
    <w:name w:val="heading 6"/>
    <w:basedOn w:val="Normln"/>
    <w:next w:val="Normln"/>
    <w:uiPriority w:val="9"/>
    <w:semiHidden/>
    <w:unhideWhenUsed/>
    <w:qFormat/>
    <w:pPr>
      <w:keepNext/>
      <w:keepLines/>
      <w:spacing w:before="200" w:after="40"/>
      <w:outlineLvl w:val="5"/>
    </w:pPr>
    <w:rPr>
      <w:b/>
      <w:bCs/>
      <w:sz w:val="20"/>
      <w:szCs w:val="2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ev">
    <w:name w:val="Title"/>
    <w:basedOn w:val="Normln"/>
    <w:next w:val="Normln"/>
    <w:uiPriority w:val="10"/>
    <w:qFormat/>
    <w:pPr>
      <w:keepNext/>
      <w:keepLines/>
      <w:spacing w:before="480" w:after="120"/>
    </w:pPr>
    <w:rPr>
      <w:b/>
      <w:bCs/>
      <w:sz w:val="72"/>
      <w:szCs w:val="72"/>
    </w:rPr>
  </w:style>
  <w:style w:type="paragraph" w:styleId="Podnadpis">
    <w:name w:val="Subtitle"/>
    <w:basedOn w:val="Normln"/>
    <w:next w:val="Normln"/>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nxntSPOP6pxGizeJ8OjxbUSQ==">CgMxLjAyDWguN3hnZmVoMmt3dHcyDmguZWFhdGYzaDJ6ejg1OAByITF6Q01FNWt6MVdDM2taT1BuZS1UVVlPV0ZiaHVoS3RPcw==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1435</Words>
  <Characters>8472</Characters>
  <Application>Microsoft Office Word</Application>
  <DocSecurity>0</DocSecurity>
  <Lines>70</Lines>
  <Paragraphs>19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Mgr. Jan Berki, Ph.D.</dc:creator>
  <cp:lastModifiedBy>Mgr. Jan Berki, Ph.D.</cp:lastModifiedBy>
  <cp:revision>2</cp:revision>
  <dcterms:created xsi:type="dcterms:W3CDTF">2026-05-27T08:52:00Z</dcterms:created>
  <dcterms:modified xsi:type="dcterms:W3CDTF">2026-05-27T08:52:00Z</dcterms:modified>
</cp:coreProperties>
</file>