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CDD3" w14:textId="77777777" w:rsidR="008D5A53" w:rsidRDefault="00000000">
      <w:pPr>
        <w:keepNext/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PARLAMENT ČESKÉ REPUBLIKY</w:t>
      </w:r>
    </w:p>
    <w:p w14:paraId="27BDCDD4" w14:textId="77777777" w:rsidR="008D5A53" w:rsidRDefault="00000000">
      <w:pPr>
        <w:widowControl w:val="0"/>
        <w:tabs>
          <w:tab w:val="center" w:pos="4536"/>
          <w:tab w:val="right" w:pos="9072"/>
        </w:tabs>
        <w:spacing w:before="200" w:after="20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Poslanecká sněmovna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14:paraId="27BDCDD5" w14:textId="77777777" w:rsidR="008D5A53" w:rsidRDefault="00000000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2026</w:t>
      </w:r>
    </w:p>
    <w:p w14:paraId="27BDCDD6" w14:textId="77777777" w:rsidR="008D5A53" w:rsidRDefault="00000000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X. volební období</w:t>
      </w:r>
    </w:p>
    <w:p w14:paraId="27BDCDD7" w14:textId="77777777" w:rsidR="008D5A53" w:rsidRDefault="00000000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</w:t>
      </w:r>
    </w:p>
    <w:p w14:paraId="27BDCDD8" w14:textId="77777777" w:rsidR="008D5A53" w:rsidRDefault="008D5A53">
      <w:pPr>
        <w:widowControl w:val="0"/>
        <w:spacing w:before="200"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BDCDD9" w14:textId="77777777" w:rsidR="008D5A53" w:rsidRDefault="008D5A53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BDCDDA" w14:textId="77777777" w:rsidR="008D5A53" w:rsidRDefault="00000000">
      <w:pPr>
        <w:keepNext/>
        <w:keepLines/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Pozměňovací návrh </w:t>
      </w:r>
    </w:p>
    <w:p w14:paraId="27BDCDDB" w14:textId="77777777" w:rsidR="008D5A53" w:rsidRDefault="00000000">
      <w:pPr>
        <w:keepNext/>
        <w:keepLines/>
        <w:widowControl w:val="0"/>
        <w:spacing w:before="240" w:after="2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poslankyň a poslanců</w:t>
      </w:r>
    </w:p>
    <w:p w14:paraId="27BDCDDC" w14:textId="24C29984" w:rsidR="008D5A53" w:rsidRDefault="00000000">
      <w:pPr>
        <w:keepNext/>
        <w:keepLines/>
        <w:widowControl w:val="0"/>
        <w:spacing w:before="240"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Veroniky Kovářové, Gabriely Svárovské, Martina Šmídy, Jany Patkové, Ireny Ferčíkové Konečné, Petra Hladíka, Bohuslava Niemiece, </w:t>
      </w:r>
      <w:r w:rsidR="005A38AA">
        <w:rPr>
          <w:rFonts w:ascii="Times New Roman" w:eastAsia="Times New Roman" w:hAnsi="Times New Roman" w:cs="Times New Roman"/>
          <w:sz w:val="32"/>
          <w:szCs w:val="32"/>
        </w:rPr>
        <w:t xml:space="preserve">Jany Krutákové, </w:t>
      </w:r>
      <w:r>
        <w:rPr>
          <w:rFonts w:ascii="Times New Roman" w:eastAsia="Times New Roman" w:hAnsi="Times New Roman" w:cs="Times New Roman"/>
          <w:sz w:val="32"/>
          <w:szCs w:val="32"/>
        </w:rPr>
        <w:t>Ivana Bartoše a Venduly Svobodové</w:t>
      </w:r>
    </w:p>
    <w:p w14:paraId="27BDCDDD" w14:textId="77777777" w:rsidR="008D5A53" w:rsidRDefault="008D5A53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BDCDDE" w14:textId="77777777" w:rsidR="008D5A53" w:rsidRDefault="00000000">
      <w:pPr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 komplexnímu pozměňovacímu návrhu uvedenému v usnesení hospodářského výboru č. 55 ze dne 30. dubna 2026 k</w:t>
      </w:r>
    </w:p>
    <w:p w14:paraId="27BDCDDF" w14:textId="77777777" w:rsidR="008D5A53" w:rsidRDefault="00000000">
      <w:pPr>
        <w:spacing w:before="20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zákony]</w:t>
      </w:r>
    </w:p>
    <w:p w14:paraId="27BDCDE0" w14:textId="77777777" w:rsidR="008D5A53" w:rsidRDefault="008D5A53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7BDCDE1" w14:textId="77777777" w:rsidR="008D5A53" w:rsidRDefault="00000000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 67/11</w:t>
      </w:r>
    </w:p>
    <w:p w14:paraId="27BDCDE2" w14:textId="77777777" w:rsidR="008D5A53" w:rsidRDefault="008D5A53">
      <w:pPr>
        <w:widowControl w:val="0"/>
        <w:spacing w:before="200" w:after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BDCDE3" w14:textId="77777777" w:rsidR="008D5A53" w:rsidRDefault="008D5A53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BDCDE4" w14:textId="77777777" w:rsidR="008D5A53" w:rsidRDefault="008D5A53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BDCDE5" w14:textId="77777777" w:rsidR="008D5A53" w:rsidRDefault="00000000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Datum: </w:t>
      </w:r>
      <w:r>
        <w:rPr>
          <w:rFonts w:ascii="Times New Roman" w:eastAsia="Times New Roman" w:hAnsi="Times New Roman" w:cs="Times New Roman"/>
          <w:sz w:val="24"/>
          <w:szCs w:val="24"/>
        </w:rPr>
        <w:t>27. 5. 2026</w:t>
      </w:r>
      <w:r>
        <w:br w:type="page"/>
      </w:r>
    </w:p>
    <w:p w14:paraId="27BDCDE6" w14:textId="77777777" w:rsidR="008D5A53" w:rsidRDefault="00000000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V části osmé v Čl. XIII komplexního pozměňovacího návrhu uvedeného v usnesení hospodářského výboru č. 55 ze dne 30. dubna 2026 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zákony, se novelizační body 43 a 44 zrušují.</w:t>
      </w:r>
    </w:p>
    <w:p w14:paraId="27BDCDE7" w14:textId="77777777" w:rsidR="008D5A53" w:rsidRDefault="00000000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Dosavadní body se přečíslují.</w:t>
      </w:r>
    </w:p>
    <w:p w14:paraId="27BDCDE8" w14:textId="77777777" w:rsidR="008D5A53" w:rsidRDefault="00000000">
      <w:pPr>
        <w:widowControl w:val="0"/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7BDCDE9" w14:textId="77777777" w:rsidR="008D5A53" w:rsidRDefault="00000000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 d ů v o d n ě n í</w:t>
      </w:r>
    </w:p>
    <w:p w14:paraId="27BDCDEA" w14:textId="77777777" w:rsidR="008D5A53" w:rsidRDefault="00000000">
      <w:pPr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Navrhuje se zrušit novelizační body 43 a 44 části osmé čl. XIII komplexního pozměňovacího návrhu, které mění § 37 odst. 2 a 3 zákona č. 114/1992 Sb., o ochraně přírody a krajiny. Podle bodu 43 se má ze zákonného režimu souhlasu podle § 37 odst. 2 vyjmout zastavitelné území ochranného pásma národního parku a podle bodu 44 se má v úvodní části § 37 odst. 3 zrušit slovo „dále“. Ve svém souhrnu by tyto změny znamenaly oslabení obecného preventivního režimu v zastavitelném území ochranných pásem národních parků.</w:t>
      </w:r>
    </w:p>
    <w:p w14:paraId="27BDCDEB" w14:textId="77777777" w:rsidR="008D5A53" w:rsidRDefault="00000000">
      <w:pPr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Platné znění § 37 zákona o ochraně přírody a krajiny je založeno na tom, že ochranné pásmo slouží k zabezpečení zvláště chráněného území před rušivými vlivy z okolí. V ochranném pásmu zvláště chráněného území je proto k povolování nebo provádění staveb, změně způsobu využití pozemků, terénním úpravám, změnám vodního režimu pozemků, nakládání s vodami, použití chemických prostředků a změnám druhu pozemku nutný souhlas orgánu ochrany přírody. U ochranných pásem národních parků se tento obecný režim doplňuje o další zvláštní činnosti vymezené v § 37 odst. 3.</w:t>
      </w:r>
    </w:p>
    <w:p w14:paraId="27BDCDEC" w14:textId="77777777" w:rsidR="008D5A53" w:rsidRDefault="00000000">
      <w:pPr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Navrhované body 43 a 44 tento vztah mění. Zastavitelné území ochranného pásma národního parku by bylo výslovně vyňato z obecného režimu § 37 odst. 2, zatímco vypuštění slova „dále“ v § 37 odst. 3 by mohlo podporovat výklad, že zvláštní výčet činností v odstavci 3 má ve vztahu k ochranným pásmům národních parků nahradit dosavadní kumulativní ochranu. Takové řešení není vhodné, protože právě stavební činnost, změny využití pozemků, terénní úpravy, zásahy do vodního režimu, nakládání s vodami nebo používání chemických prostředků mohou mít v ochranném pásmu národního parku významný dopad na jeho předmět ochrany, krajinný ráz, ekologickou stabilitu a schopnost území plnit tlumící funkci vůči rušivým vlivům z okolí.</w:t>
      </w:r>
    </w:p>
    <w:p w14:paraId="27BDCDED" w14:textId="77777777" w:rsidR="008D5A53" w:rsidRDefault="00000000">
      <w:pPr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Zachování obecného režimu podle § 37 odst. 2 je opodstatněné i v zastavitelném území ochranného pásma národního parku. Vymezení určitého území jako zastavitelného samo o sobě neznamená, že veškeré navazující zásahy již nemohou ohrozit zabezpečení národního parku před rušivými vlivy z okolí. Územně plánovací dokumentace zpravidla řeší koncepční využití území, nikoli všechny konkrétní budoucí záměry v podrobnosti, která by mohla plně nahradit individuální posouzení dopadů konkrétní stavby, změny využití pozemku nebo zásahu do vodního režimu.</w:t>
      </w:r>
    </w:p>
    <w:p w14:paraId="27BDCDEE" w14:textId="77777777" w:rsidR="008D5A53" w:rsidRDefault="00000000">
      <w:pPr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Ponechání bodů 43 a 44 by tak vedlo k nežádoucímu zúžení zákonného standardu ochrany právě u nejcennější kategorie zvláště chráněných území. Ustanovení § 37 odst. 3 dopadá pouze na omezený okruh činností, zejména táboření, určité formy zemědělského hospodaření, odstraňování odpadů a pořádání hromadných akcí. Nepokrývá však celý okruh zásahů uvedených v § 37 odst. 2, jejichž dopady mohou být pro ochranné pásmo národního parku zásadní.</w:t>
      </w:r>
    </w:p>
    <w:p w14:paraId="27BDCDEF" w14:textId="77777777" w:rsidR="008D5A53" w:rsidRDefault="00000000">
      <w:pPr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Odůvodnění komplexního pozměňovacího návrhu, který souhlasy podle § 37 odst. 2 označuje za zbytnou agendu, není ve vztahu k ochranným pásmům národních parků přesvědčivá. Komplexní pozměňovací návrh současně ponechává zvláštní postavení správ národních parků a nevede k tomu, že by ochrana těchto území byla plnohodnotně nahrazena výkonem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působnosti stavebních úřadů. Zrušení bodů 43 a 44 proto zachovává dosavadní věcně odůvodněný rozsah preventivní ochrany bez narušení ostatních změn navržených v § 37.</w:t>
      </w:r>
    </w:p>
    <w:p w14:paraId="27BDCDF0" w14:textId="77777777" w:rsidR="008D5A53" w:rsidRDefault="00000000">
      <w:pPr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Pozměňovací návrh je legislativně projednatelný, neboť přímo mění konkrétní novelizační body komplexního pozměňovacího návrhu hospodářského výboru, které upravují zákon č. 114/1992 Sb., o ochraně přírody a krajiny. Navržené vypuštění bodů 43 a 44 je věcně související s projednávanou novelou a jeho přijetím zůstává zachován dosavadní režim § 37 odst. 2 a úvodní části § 37 odst. 3, při současném ponechání ostatních navrhovaných změn, zejména změny terminologie ze zastavěného na zastavitelné území podle navazujícího bodu. </w:t>
      </w:r>
      <w:r>
        <w:br w:type="page"/>
      </w:r>
    </w:p>
    <w:p w14:paraId="27BDCDF1" w14:textId="77777777" w:rsidR="008D5A53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lastRenderedPageBreak/>
        <w:t>Platné znění dotčených ustanovení zákona č. 114/1992 Sb., o ochraně přírody a krajiny, ve znění pozdějších předpisů, s vyznačením navrhovaných změn</w:t>
      </w:r>
    </w:p>
    <w:p w14:paraId="27BDCDF2" w14:textId="77777777" w:rsidR="008D5A53" w:rsidRDefault="00000000">
      <w:pPr>
        <w:spacing w:before="20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[změny provedené komplexním pozměňovacím návrhem zákona ČERNĚ, změny provedené pozměňovacím návrhem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ČERVENĚ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27BDCDF3" w14:textId="77777777" w:rsidR="008D5A53" w:rsidRDefault="00000000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§ 37</w:t>
      </w:r>
    </w:p>
    <w:p w14:paraId="27BDCDF4" w14:textId="77777777" w:rsidR="008D5A53" w:rsidRDefault="00000000">
      <w:pPr>
        <w:widowControl w:val="0"/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Ochranná pásma zvláště chráněných území</w:t>
      </w:r>
    </w:p>
    <w:p w14:paraId="27BDCDF5" w14:textId="77777777" w:rsidR="008D5A53" w:rsidRDefault="00000000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(1) Je-li třeba zabezpečit zvláště chráněná území, s výjimkou chráněné krajinné oblasti, před rušivými vlivy z okolí, může být pro ně vyhlášeno ochranné pásmo, ve kterém lze vymezit činnosti a zásahy, které jsou vázány na předchozí souhlas orgánu ochrany přírody. Ochranné pásmo vyhlašuje orgán, který zvláště chráněné území vyhlásil, a to stejným způsobem. Pokud se ochranné pásmo národní přírodní rezervace, národní přírodní památky, přírodní rezervace nebo přírodní památky nevyhlásí, je jím území do vzdálenosti 50 m od hranic zvláště chráněného území. Orgán ochrany přírody může při vyhlášení zvláště chráněného území stanovit, že se zvláště chráněné území vyhlašuje bez ochranného pásma.</w:t>
      </w:r>
    </w:p>
    <w:p w14:paraId="27BDCDF6" w14:textId="77777777" w:rsidR="008D5A53" w:rsidRDefault="00000000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(2) K povolování nebo provádění staveb, změně způsobu využití pozemků, terénním úpravám, změnám vodního režimu pozemků nebo k nakládání s vodami, k použití chemických prostředků a ke změnám druhu pozemku v ochranném pásmu zvláště chráněného území </w:t>
      </w:r>
      <w:r>
        <w:rPr>
          <w:rFonts w:ascii="Times New Roman" w:eastAsia="Times New Roman" w:hAnsi="Times New Roman" w:cs="Times New Roman"/>
          <w:b/>
          <w:bCs/>
          <w:strike/>
          <w:color w:val="FF0000"/>
          <w:sz w:val="24"/>
          <w:szCs w:val="24"/>
        </w:rPr>
        <w:t>s výjimkou ochranného pásma národního parku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je nutný souhlas orgánu ochrany přírody.</w:t>
      </w:r>
    </w:p>
    <w:p w14:paraId="27BDCDF7" w14:textId="77777777" w:rsidR="008D5A53" w:rsidRDefault="00000000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(3) V ochranném pásmu národního parku se souhlas orgánu ochrany přírody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dále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vyžaduje k</w:t>
      </w:r>
    </w:p>
    <w:p w14:paraId="27BDCDF8" w14:textId="77777777" w:rsidR="008D5A53" w:rsidRDefault="00000000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táboření mimo místa vyhrazená orgánem ochrany přírody opatřením obecné povahy a mimo 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>zastavěná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zastavitelná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území obcí,</w:t>
      </w:r>
    </w:p>
    <w:p w14:paraId="27BDCDF9" w14:textId="77777777" w:rsidR="008D5A53" w:rsidRDefault="00000000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b) zemědělskému hospodaření, pokud by tím docházelo k překročení ekologicky únosného režimu přísunu živin do půdy, zejména draslíku, dusíku a fosforu,</w:t>
      </w:r>
    </w:p>
    <w:p w14:paraId="27BDCDFA" w14:textId="77777777" w:rsidR="008D5A53" w:rsidRDefault="00000000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c) odstraňování odpadů, nebo</w:t>
      </w:r>
    </w:p>
    <w:p w14:paraId="27BDCDFB" w14:textId="77777777" w:rsidR="008D5A53" w:rsidRDefault="00000000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d) pořádání hromadných sportovních, turistických a jiných veřejných akcí mimo místa vyhrazená orgánem ochrany přírody opatřením obecné povahy a mimo 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>zastavěná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zastavitelná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území obcí.</w:t>
      </w:r>
    </w:p>
    <w:p w14:paraId="27BDCDFC" w14:textId="77777777" w:rsidR="008D5A53" w:rsidRDefault="00000000">
      <w:pPr>
        <w:widowControl w:val="0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(4) Souhlas k činnostem podle odstavců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 a 3 vydává orgán ochrany přírody rozhodnutím,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závazným stanoviskem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nebo, je-li okruh adresátů neurčitý, opatřením obecné povahy. Orgán ochrany přírody souhlas podle odstavců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1,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 3 vydá, pokud se prokáže, že nedojde k ohrožení zabezpečení zvláště chráněného území před rušivými vlivy z okolí nebo zachování příznivého stavu předmětu ochrany dotčeného zvláště chráněného území.</w:t>
      </w:r>
    </w:p>
    <w:p w14:paraId="27BDCDFD" w14:textId="77777777" w:rsidR="008D5A53" w:rsidRDefault="008D5A53">
      <w:pPr>
        <w:widowControl w:val="0"/>
        <w:spacing w:before="20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8D5A5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9C86B46C-C67B-4AB8-990F-F30B13BD3B3A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FF02EAB9-D826-4A15-AB2F-4734907754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A53"/>
    <w:rsid w:val="005A38AA"/>
    <w:rsid w:val="008D5A53"/>
    <w:rsid w:val="00EB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DCDD3"/>
  <w15:docId w15:val="{7626A281-766F-456C-9594-CD1A39C54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1089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Nevyjel</cp:lastModifiedBy>
  <cp:revision>2</cp:revision>
  <dcterms:created xsi:type="dcterms:W3CDTF">2026-05-27T11:04:00Z</dcterms:created>
  <dcterms:modified xsi:type="dcterms:W3CDTF">2026-05-27T11:05:00Z</dcterms:modified>
</cp:coreProperties>
</file>