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after="200" w:before="200" w:line="276" w:lineRule="auto"/>
        <w:jc w:val="center"/>
        <w:rPr>
          <w:b w:val="1"/>
          <w:bCs w:val="1"/>
          <w:sz w:val="36"/>
          <w:szCs w:val="36"/>
        </w:rPr>
      </w:pPr>
      <w:bookmarkStart w:colFirst="0" w:colLast="0" w:name="_gjdgxs" w:id="0"/>
      <w:bookmarkEnd w:id="0"/>
      <w:r w:rsidDel="00000000" w:rsidR="00000000" w:rsidRPr="00000000">
        <w:rPr>
          <w:b w:val="1"/>
          <w:bCs w:val="1"/>
          <w:sz w:val="36"/>
          <w:szCs w:val="36"/>
          <w:rtl w:val="0"/>
        </w:rPr>
        <w:t xml:space="preserve">PARLAMENT ČESKÉ REPUBLIKY</w:t>
      </w:r>
    </w:p>
    <w:p w:rsidR="00000000" w:rsidDel="00000000" w:rsidP="00000000" w:rsidRDefault="00000000" w:rsidRPr="00000000" w14:paraId="00000002">
      <w:pPr>
        <w:widowControl w:val="0"/>
        <w:tabs>
          <w:tab w:val="center" w:leader="none" w:pos="4536"/>
          <w:tab w:val="right" w:leader="none" w:pos="9072"/>
        </w:tabs>
        <w:spacing w:after="200" w:before="200" w:line="276" w:lineRule="auto"/>
        <w:rPr>
          <w:b w:val="1"/>
          <w:bCs w:val="1"/>
          <w:sz w:val="36"/>
          <w:szCs w:val="36"/>
        </w:rPr>
      </w:pPr>
      <w:r w:rsidDel="00000000" w:rsidR="00000000" w:rsidRPr="00000000">
        <w:rPr>
          <w:b w:val="1"/>
          <w:bCs w:val="1"/>
          <w:sz w:val="36"/>
          <w:szCs w:val="36"/>
          <w:rtl w:val="0"/>
        </w:rPr>
        <w:tab/>
        <w:t xml:space="preserve">Poslanecká sněmovna</w:t>
        <w:tab/>
      </w:r>
    </w:p>
    <w:p w:rsidR="00000000" w:rsidDel="00000000" w:rsidP="00000000" w:rsidRDefault="00000000" w:rsidRPr="00000000" w14:paraId="00000003">
      <w:pPr>
        <w:widowControl w:val="0"/>
        <w:spacing w:after="200" w:before="200" w:line="276" w:lineRule="auto"/>
        <w:jc w:val="center"/>
        <w:rPr>
          <w:b w:val="1"/>
          <w:bCs w:val="1"/>
          <w:sz w:val="36"/>
          <w:szCs w:val="36"/>
        </w:rPr>
      </w:pPr>
      <w:r w:rsidDel="00000000" w:rsidR="00000000" w:rsidRPr="00000000">
        <w:rPr>
          <w:b w:val="1"/>
          <w:bCs w:val="1"/>
          <w:sz w:val="36"/>
          <w:szCs w:val="36"/>
          <w:rtl w:val="0"/>
        </w:rPr>
        <w:t xml:space="preserve">2026</w:t>
      </w:r>
    </w:p>
    <w:p w:rsidR="00000000" w:rsidDel="00000000" w:rsidP="00000000" w:rsidRDefault="00000000" w:rsidRPr="00000000" w14:paraId="00000004">
      <w:pPr>
        <w:widowControl w:val="0"/>
        <w:spacing w:after="200" w:before="200" w:line="276" w:lineRule="auto"/>
        <w:jc w:val="center"/>
        <w:rPr>
          <w:b w:val="1"/>
          <w:bCs w:val="1"/>
          <w:sz w:val="36"/>
          <w:szCs w:val="36"/>
        </w:rPr>
      </w:pPr>
      <w:r w:rsidDel="00000000" w:rsidR="00000000" w:rsidRPr="00000000">
        <w:rPr>
          <w:b w:val="1"/>
          <w:bCs w:val="1"/>
          <w:sz w:val="36"/>
          <w:szCs w:val="36"/>
          <w:rtl w:val="0"/>
        </w:rPr>
        <w:t xml:space="preserve">X. volební období</w:t>
      </w:r>
    </w:p>
    <w:p w:rsidR="00000000" w:rsidDel="00000000" w:rsidP="00000000" w:rsidRDefault="00000000" w:rsidRPr="00000000" w14:paraId="00000005">
      <w:pPr>
        <w:widowControl w:val="0"/>
        <w:spacing w:after="200" w:before="200" w:line="276" w:lineRule="auto"/>
        <w:jc w:val="center"/>
        <w:rPr>
          <w:sz w:val="28"/>
          <w:szCs w:val="28"/>
        </w:rPr>
      </w:pPr>
      <w:r w:rsidDel="00000000" w:rsidR="00000000" w:rsidRPr="00000000">
        <w:rPr>
          <w:sz w:val="28"/>
          <w:szCs w:val="28"/>
          <w:rtl w:val="0"/>
        </w:rPr>
        <w:t xml:space="preserve">___________________________________________________________</w:t>
      </w:r>
    </w:p>
    <w:p w:rsidR="00000000" w:rsidDel="00000000" w:rsidP="00000000" w:rsidRDefault="00000000" w:rsidRPr="00000000" w14:paraId="00000006">
      <w:pPr>
        <w:widowControl w:val="0"/>
        <w:spacing w:after="200" w:before="200" w:line="276" w:lineRule="auto"/>
        <w:rPr>
          <w:sz w:val="28"/>
          <w:szCs w:val="28"/>
        </w:rPr>
      </w:pPr>
      <w:r w:rsidDel="00000000" w:rsidR="00000000" w:rsidRPr="00000000">
        <w:rPr>
          <w:rtl w:val="0"/>
        </w:rPr>
      </w:r>
    </w:p>
    <w:p w:rsidR="00000000" w:rsidDel="00000000" w:rsidP="00000000" w:rsidRDefault="00000000" w:rsidRPr="00000000" w14:paraId="00000007">
      <w:pPr>
        <w:widowControl w:val="0"/>
        <w:spacing w:after="200" w:before="200" w:line="276" w:lineRule="auto"/>
        <w:jc w:val="center"/>
        <w:rPr>
          <w:b w:val="1"/>
          <w:bCs w:val="1"/>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spacing w:after="200" w:before="200" w:line="276" w:lineRule="auto"/>
        <w:jc w:val="center"/>
        <w:rPr>
          <w:b w:val="1"/>
          <w:bCs w:val="1"/>
          <w:sz w:val="32"/>
          <w:szCs w:val="32"/>
        </w:rPr>
      </w:pPr>
      <w:r w:rsidDel="00000000" w:rsidR="00000000" w:rsidRPr="00000000">
        <w:rPr>
          <w:b w:val="1"/>
          <w:bCs w:val="1"/>
          <w:sz w:val="32"/>
          <w:szCs w:val="32"/>
          <w:rtl w:val="0"/>
        </w:rPr>
        <w:t xml:space="preserve">Pozměňovací návrh </w:t>
      </w:r>
    </w:p>
    <w:p w:rsidR="00000000" w:rsidDel="00000000" w:rsidP="00000000" w:rsidRDefault="00000000" w:rsidRPr="00000000" w14:paraId="00000009">
      <w:pPr>
        <w:keepNext w:val="1"/>
        <w:keepLines w:val="1"/>
        <w:widowControl w:val="0"/>
        <w:spacing w:after="200" w:before="240" w:line="276" w:lineRule="auto"/>
        <w:jc w:val="center"/>
        <w:rPr>
          <w:sz w:val="32"/>
          <w:szCs w:val="32"/>
        </w:rPr>
      </w:pPr>
      <w:r w:rsidDel="00000000" w:rsidR="00000000" w:rsidRPr="00000000">
        <w:rPr>
          <w:sz w:val="32"/>
          <w:szCs w:val="32"/>
          <w:rtl w:val="0"/>
        </w:rPr>
        <w:t xml:space="preserve">poslanců a poslankyň</w:t>
      </w:r>
    </w:p>
    <w:p w:rsidR="00000000" w:rsidDel="00000000" w:rsidP="00000000" w:rsidRDefault="00000000" w:rsidRPr="00000000" w14:paraId="0000000A">
      <w:pPr>
        <w:keepNext w:val="1"/>
        <w:keepLines w:val="1"/>
        <w:widowControl w:val="0"/>
        <w:spacing w:after="200" w:before="240" w:line="276" w:lineRule="auto"/>
        <w:jc w:val="center"/>
        <w:rPr>
          <w:sz w:val="32"/>
          <w:szCs w:val="32"/>
        </w:rPr>
      </w:pPr>
      <w:r w:rsidDel="00000000" w:rsidR="00000000" w:rsidRPr="00000000">
        <w:rPr>
          <w:sz w:val="32"/>
          <w:szCs w:val="32"/>
          <w:rtl w:val="0"/>
        </w:rPr>
        <w:t xml:space="preserve">Zdeňka Hřiba, Ivana Bartoše, Olgy Richterové, Veroniky Kovářové, Barbory Pipášové a Venduly Svobodové</w:t>
      </w:r>
    </w:p>
    <w:p w:rsidR="00000000" w:rsidDel="00000000" w:rsidP="00000000" w:rsidRDefault="00000000" w:rsidRPr="00000000" w14:paraId="0000000B">
      <w:pPr>
        <w:widowControl w:val="0"/>
        <w:spacing w:after="200" w:before="200" w:line="276" w:lineRule="auto"/>
        <w:jc w:val="left"/>
        <w:rPr>
          <w:sz w:val="28"/>
          <w:szCs w:val="28"/>
        </w:rPr>
      </w:pPr>
      <w:r w:rsidDel="00000000" w:rsidR="00000000" w:rsidRPr="00000000">
        <w:rPr>
          <w:rtl w:val="0"/>
        </w:rPr>
      </w:r>
    </w:p>
    <w:p w:rsidR="00000000" w:rsidDel="00000000" w:rsidP="00000000" w:rsidRDefault="00000000" w:rsidRPr="00000000" w14:paraId="0000000C">
      <w:pPr>
        <w:spacing w:after="200" w:before="200" w:line="276" w:lineRule="auto"/>
        <w:jc w:val="center"/>
        <w:rPr>
          <w:b w:val="1"/>
          <w:bCs w:val="1"/>
        </w:rPr>
      </w:pPr>
      <w:r w:rsidDel="00000000" w:rsidR="00000000" w:rsidRPr="00000000">
        <w:rPr>
          <w:b w:val="1"/>
          <w:bCs w:val="1"/>
          <w:rtl w:val="0"/>
        </w:rPr>
        <w:t xml:space="preserve">ke komplexnímu pozměňovacímu návrhu uvedenému v usnesení hospodářského výboru č. 55 ze dne 30. dubna 2026 k</w:t>
      </w:r>
    </w:p>
    <w:p w:rsidR="00000000" w:rsidDel="00000000" w:rsidP="00000000" w:rsidRDefault="00000000" w:rsidRPr="00000000" w14:paraId="0000000D">
      <w:pPr>
        <w:spacing w:after="360" w:line="276" w:lineRule="auto"/>
        <w:jc w:val="center"/>
        <w:rPr>
          <w:b w:val="1"/>
          <w:bCs w:val="1"/>
        </w:rPr>
      </w:pPr>
      <w:r w:rsidDel="00000000" w:rsidR="00000000" w:rsidRPr="00000000">
        <w:rPr>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r w:rsidDel="00000000" w:rsidR="00000000" w:rsidRPr="00000000">
        <w:rPr>
          <w:rtl w:val="0"/>
        </w:rPr>
      </w:r>
    </w:p>
    <w:p w:rsidR="00000000" w:rsidDel="00000000" w:rsidP="00000000" w:rsidRDefault="00000000" w:rsidRPr="00000000" w14:paraId="0000000E">
      <w:pPr>
        <w:widowControl w:val="0"/>
        <w:spacing w:after="200" w:before="200" w:line="276" w:lineRule="auto"/>
        <w:jc w:val="both"/>
        <w:rPr>
          <w:b w:val="1"/>
          <w:bCs w:val="1"/>
          <w:sz w:val="30"/>
          <w:szCs w:val="30"/>
        </w:rPr>
      </w:pPr>
      <w:r w:rsidDel="00000000" w:rsidR="00000000" w:rsidRPr="00000000">
        <w:rPr>
          <w:rtl w:val="0"/>
        </w:rPr>
      </w:r>
    </w:p>
    <w:p w:rsidR="00000000" w:rsidDel="00000000" w:rsidP="00000000" w:rsidRDefault="00000000" w:rsidRPr="00000000" w14:paraId="0000000F">
      <w:pPr>
        <w:widowControl w:val="0"/>
        <w:spacing w:after="200" w:before="200" w:line="276" w:lineRule="auto"/>
        <w:jc w:val="center"/>
        <w:rPr>
          <w:b w:val="1"/>
          <w:bCs w:val="1"/>
        </w:rPr>
      </w:pPr>
      <w:r w:rsidDel="00000000" w:rsidR="00000000" w:rsidRPr="00000000">
        <w:rPr>
          <w:b w:val="1"/>
          <w:bCs w:val="1"/>
          <w:sz w:val="40"/>
          <w:szCs w:val="40"/>
          <w:rtl w:val="0"/>
        </w:rPr>
        <w:t xml:space="preserve">ST 67/11</w:t>
      </w:r>
      <w:r w:rsidDel="00000000" w:rsidR="00000000" w:rsidRPr="00000000">
        <w:rPr>
          <w:rtl w:val="0"/>
        </w:rPr>
      </w:r>
    </w:p>
    <w:p w:rsidR="00000000" w:rsidDel="00000000" w:rsidP="00000000" w:rsidRDefault="00000000" w:rsidRPr="00000000" w14:paraId="00000010">
      <w:pPr>
        <w:widowControl w:val="0"/>
        <w:spacing w:after="200" w:before="200" w:line="276" w:lineRule="auto"/>
        <w:rPr>
          <w:b w:val="1"/>
          <w:bCs w:val="1"/>
        </w:rPr>
      </w:pPr>
      <w:r w:rsidDel="00000000" w:rsidR="00000000" w:rsidRPr="00000000">
        <w:rPr>
          <w:rtl w:val="0"/>
        </w:rPr>
      </w:r>
    </w:p>
    <w:p w:rsidR="00000000" w:rsidDel="00000000" w:rsidP="00000000" w:rsidRDefault="00000000" w:rsidRPr="00000000" w14:paraId="00000011">
      <w:pPr>
        <w:widowControl w:val="0"/>
        <w:spacing w:after="200" w:before="200" w:line="276" w:lineRule="auto"/>
        <w:rPr>
          <w:b w:val="1"/>
          <w:bCs w:val="1"/>
        </w:rPr>
      </w:pPr>
      <w:r w:rsidDel="00000000" w:rsidR="00000000" w:rsidRPr="00000000">
        <w:rPr>
          <w:rtl w:val="0"/>
        </w:rPr>
      </w:r>
    </w:p>
    <w:p w:rsidR="00000000" w:rsidDel="00000000" w:rsidP="00000000" w:rsidRDefault="00000000" w:rsidRPr="00000000" w14:paraId="00000012">
      <w:pPr>
        <w:widowControl w:val="0"/>
        <w:spacing w:after="200" w:before="200" w:line="276" w:lineRule="auto"/>
        <w:jc w:val="both"/>
        <w:rPr/>
      </w:pPr>
      <w:r w:rsidDel="00000000" w:rsidR="00000000" w:rsidRPr="00000000">
        <w:rPr>
          <w:b w:val="1"/>
          <w:bCs w:val="1"/>
          <w:rtl w:val="0"/>
        </w:rPr>
        <w:t xml:space="preserve">Datum: </w:t>
      </w:r>
      <w:r w:rsidDel="00000000" w:rsidR="00000000" w:rsidRPr="00000000">
        <w:rPr>
          <w:rtl w:val="0"/>
        </w:rPr>
        <w:t xml:space="preserve">27. 5. 2026</w:t>
      </w:r>
      <w:r w:rsidDel="00000000" w:rsidR="00000000" w:rsidRPr="00000000">
        <w:br w:type="page"/>
      </w:r>
      <w:r w:rsidDel="00000000" w:rsidR="00000000" w:rsidRPr="00000000">
        <w:rPr>
          <w:rtl w:val="0"/>
        </w:rPr>
      </w:r>
    </w:p>
    <w:p w:rsidR="00000000" w:rsidDel="00000000" w:rsidP="00000000" w:rsidRDefault="00000000" w:rsidRPr="00000000" w14:paraId="00000013">
      <w:pPr>
        <w:widowControl w:val="0"/>
        <w:spacing w:after="200" w:before="200" w:line="276" w:lineRule="auto"/>
        <w:jc w:val="both"/>
        <w:rPr/>
      </w:pPr>
      <w:r w:rsidDel="00000000" w:rsidR="00000000" w:rsidRPr="00000000">
        <w:rPr>
          <w:rtl w:val="0"/>
        </w:rPr>
        <w:t xml:space="preserve">Za část třicátou osmou k</w:t>
      </w:r>
      <w:r w:rsidDel="00000000" w:rsidR="00000000" w:rsidRPr="00000000">
        <w:rPr>
          <w:rFonts w:ascii="Times New Roman" w:cs="Times New Roman" w:eastAsia="Times New Roman" w:hAnsi="Times New Roman"/>
          <w:b w:val="0"/>
          <w:bCs w:val="0"/>
          <w:sz w:val="24"/>
          <w:szCs w:val="24"/>
          <w:rtl w:val="0"/>
        </w:rPr>
        <w:t xml:space="preserve">omplexního pozměňovacího návrhu uveden</w:t>
      </w:r>
      <w:r w:rsidDel="00000000" w:rsidR="00000000" w:rsidRPr="00000000">
        <w:rPr>
          <w:rtl w:val="0"/>
        </w:rPr>
        <w:t xml:space="preserve">ého</w:t>
      </w:r>
      <w:r w:rsidDel="00000000" w:rsidR="00000000" w:rsidRPr="00000000">
        <w:rPr>
          <w:rFonts w:ascii="Times New Roman" w:cs="Times New Roman" w:eastAsia="Times New Roman" w:hAnsi="Times New Roman"/>
          <w:b w:val="0"/>
          <w:bCs w:val="0"/>
          <w:sz w:val="24"/>
          <w:szCs w:val="24"/>
          <w:rtl w:val="0"/>
        </w:rPr>
        <w:t xml:space="preserve">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vkládá nová část třicátá devátá, která včetně nadpisu zní:</w:t>
      </w:r>
      <w:r w:rsidDel="00000000" w:rsidR="00000000" w:rsidRPr="00000000">
        <w:rPr>
          <w:rtl w:val="0"/>
        </w:rPr>
      </w:r>
    </w:p>
    <w:p w:rsidR="00000000" w:rsidDel="00000000" w:rsidP="00000000" w:rsidRDefault="00000000" w:rsidRPr="00000000" w14:paraId="00000014">
      <w:pPr>
        <w:spacing w:after="200" w:before="20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„ČÁST TŘICÁTÁ DEVÁTÁ</w:t>
      </w:r>
      <w:r w:rsidDel="00000000" w:rsidR="00000000" w:rsidRPr="00000000">
        <w:rPr>
          <w:rtl w:val="0"/>
        </w:rPr>
      </w:r>
    </w:p>
    <w:p w:rsidR="00000000" w:rsidDel="00000000" w:rsidP="00000000" w:rsidRDefault="00000000" w:rsidRPr="00000000" w14:paraId="00000015">
      <w:pPr>
        <w:spacing w:after="200" w:before="200" w:line="276" w:lineRule="auto"/>
        <w:jc w:val="center"/>
        <w:rPr>
          <w:b w:val="1"/>
          <w:bCs w:val="1"/>
        </w:rPr>
      </w:pPr>
      <w:r w:rsidDel="00000000" w:rsidR="00000000" w:rsidRPr="00000000">
        <w:rPr>
          <w:b w:val="1"/>
          <w:bCs w:val="1"/>
          <w:sz w:val="24"/>
          <w:szCs w:val="24"/>
          <w:rtl w:val="0"/>
        </w:rPr>
        <w:t xml:space="preserve">Změna zákona o střetu zájmů</w:t>
      </w:r>
      <w:r w:rsidDel="00000000" w:rsidR="00000000" w:rsidRPr="00000000">
        <w:rPr>
          <w:rtl w:val="0"/>
        </w:rPr>
      </w:r>
    </w:p>
    <w:p w:rsidR="00000000" w:rsidDel="00000000" w:rsidP="00000000" w:rsidRDefault="00000000" w:rsidRPr="00000000" w14:paraId="00000016">
      <w:pPr>
        <w:spacing w:after="200" w:before="200" w:line="276" w:lineRule="auto"/>
        <w:jc w:val="center"/>
        <w:rPr/>
      </w:pPr>
      <w:r w:rsidDel="00000000" w:rsidR="00000000" w:rsidRPr="00000000">
        <w:rPr>
          <w:sz w:val="24"/>
          <w:szCs w:val="24"/>
          <w:rtl w:val="0"/>
        </w:rPr>
        <w:t xml:space="preserve">Čl. LVI</w:t>
      </w:r>
      <w:r w:rsidDel="00000000" w:rsidR="00000000" w:rsidRPr="00000000">
        <w:rPr>
          <w:rtl w:val="0"/>
        </w:rPr>
      </w:r>
    </w:p>
    <w:p w:rsidR="00000000" w:rsidDel="00000000" w:rsidP="00000000" w:rsidRDefault="00000000" w:rsidRPr="00000000" w14:paraId="00000017">
      <w:pPr>
        <w:spacing w:after="200" w:before="200" w:line="276" w:lineRule="auto"/>
        <w:ind w:firstLine="720"/>
        <w:jc w:val="both"/>
        <w:rPr/>
      </w:pPr>
      <w:r w:rsidDel="00000000" w:rsidR="00000000" w:rsidRPr="00000000">
        <w:rPr>
          <w:rFonts w:ascii="Times New Roman" w:cs="Times New Roman" w:eastAsia="Times New Roman" w:hAnsi="Times New Roman"/>
          <w:b w:val="0"/>
          <w:bCs w:val="0"/>
          <w:sz w:val="24"/>
          <w:szCs w:val="24"/>
          <w:rtl w:val="0"/>
        </w:rPr>
        <w:t xml:space="preserve">Zákon č. 159/2006 Sb., o střetu zájmů, ve znění zákona č. 216/2008 Sb., zákona č. 158/2009 Sb., zákona č. 281/2009 Sb., zákona č. 350/2009 Sb., zákona č. 167/2012 Sb., zákona č. 503/2012 Sb., zákona č. 131/2015 Sb., zákona č. 190/2016 Sb., zákona č. 298/2016 Sb., zákona č. 302/2016 Sb., zákona č. 14/2017 Sb., zákona č. 183/2017 Sb., zákona č. 112/2018 Sb., nálezu Ústavního soudu vyhlášeného pod č. 149/2020 Sb., zákona č. 261/2021 Sb., zákona č. 180/2022 Sb., zákona č. 253/2023 Sb., zákona č. 263/2024 Sb., zákona č. 448/2024 Sb., zákona č. 77/2025 Sb., zákona č. 218/2025 Sb. a zákona č. 232/2025 Sb., se mění takto:</w:t>
      </w:r>
      <w:r w:rsidDel="00000000" w:rsidR="00000000" w:rsidRPr="00000000">
        <w:rPr>
          <w:rtl w:val="0"/>
        </w:rPr>
      </w:r>
    </w:p>
    <w:p w:rsidR="00000000" w:rsidDel="00000000" w:rsidP="00000000" w:rsidRDefault="00000000" w:rsidRPr="00000000" w14:paraId="00000018">
      <w:pPr>
        <w:numPr>
          <w:ilvl w:val="0"/>
          <w:numId w:val="1"/>
        </w:numPr>
        <w:spacing w:after="200" w:before="200" w:line="276"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V § 7 písm</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d) </w:t>
      </w:r>
      <w:r w:rsidDel="00000000" w:rsidR="00000000" w:rsidRPr="00000000">
        <w:rPr>
          <w:rtl w:val="0"/>
        </w:rPr>
        <w:t xml:space="preserve">se za slovo </w:t>
      </w:r>
      <w:r w:rsidDel="00000000" w:rsidR="00000000" w:rsidRPr="00000000">
        <w:rPr>
          <w:rFonts w:ascii="Times New Roman" w:cs="Times New Roman" w:eastAsia="Times New Roman" w:hAnsi="Times New Roman"/>
          <w:b w:val="0"/>
          <w:bCs w:val="0"/>
          <w:sz w:val="24"/>
          <w:szCs w:val="24"/>
          <w:rtl w:val="0"/>
        </w:rPr>
        <w:t xml:space="preserve">„závazcích</w:t>
      </w:r>
      <w:r w:rsidDel="00000000" w:rsidR="00000000" w:rsidRPr="00000000">
        <w:rPr>
          <w:rtl w:val="0"/>
        </w:rPr>
        <w:t xml:space="preserve">“ vkládají slova „</w:t>
      </w:r>
      <w:r w:rsidDel="00000000" w:rsidR="00000000" w:rsidRPr="00000000">
        <w:rPr>
          <w:rFonts w:ascii="Times New Roman" w:cs="Times New Roman" w:eastAsia="Times New Roman" w:hAnsi="Times New Roman"/>
          <w:b w:val="0"/>
          <w:bCs w:val="0"/>
          <w:sz w:val="24"/>
          <w:szCs w:val="24"/>
          <w:rtl w:val="0"/>
        </w:rPr>
        <w:t xml:space="preserve">a nájmu obecního bytu“.</w:t>
      </w:r>
      <w:r w:rsidDel="00000000" w:rsidR="00000000" w:rsidRPr="00000000">
        <w:rPr>
          <w:rtl w:val="0"/>
        </w:rPr>
      </w:r>
    </w:p>
    <w:p w:rsidR="00000000" w:rsidDel="00000000" w:rsidP="00000000" w:rsidRDefault="00000000" w:rsidRPr="00000000" w14:paraId="00000019">
      <w:pPr>
        <w:numPr>
          <w:ilvl w:val="0"/>
          <w:numId w:val="1"/>
        </w:numPr>
        <w:spacing w:after="200" w:before="200" w:line="276"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V § 11 odst</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1 se na konci text</w:t>
      </w:r>
      <w:r w:rsidDel="00000000" w:rsidR="00000000" w:rsidRPr="00000000">
        <w:rPr>
          <w:rtl w:val="0"/>
        </w:rPr>
        <w:t xml:space="preserve">u věty první doplňují slova </w:t>
      </w:r>
      <w:r w:rsidDel="00000000" w:rsidR="00000000" w:rsidRPr="00000000">
        <w:rPr>
          <w:rFonts w:ascii="Times New Roman" w:cs="Times New Roman" w:eastAsia="Times New Roman" w:hAnsi="Times New Roman"/>
          <w:b w:val="0"/>
          <w:bCs w:val="0"/>
          <w:sz w:val="24"/>
          <w:szCs w:val="24"/>
          <w:rtl w:val="0"/>
        </w:rPr>
        <w:t xml:space="preserve">„, a zda je ke dni předcházejícímu dni zahájení výkonu funkce nájemcem nebo společným nájemcem obecního bytu</w:t>
      </w:r>
      <w:r w:rsidDel="00000000" w:rsidR="00000000" w:rsidRPr="00000000">
        <w:rPr>
          <w:rtl w:val="0"/>
        </w:rPr>
        <w:t xml:space="preserve">“ a na konci textu věty druhé se doplňují slova „</w:t>
      </w:r>
      <w:r w:rsidDel="00000000" w:rsidR="00000000" w:rsidRPr="00000000">
        <w:rPr>
          <w:rFonts w:ascii="Times New Roman" w:cs="Times New Roman" w:eastAsia="Times New Roman" w:hAnsi="Times New Roman"/>
          <w:b w:val="0"/>
          <w:bCs w:val="0"/>
          <w:sz w:val="24"/>
          <w:szCs w:val="24"/>
          <w:rtl w:val="0"/>
        </w:rPr>
        <w:t xml:space="preserve">a údaje podle odstavce </w:t>
      </w:r>
      <w:r w:rsidDel="00000000" w:rsidR="00000000" w:rsidRPr="00000000">
        <w:rPr>
          <w:rtl w:val="0"/>
        </w:rPr>
        <w:t xml:space="preserve">3 věty druhé</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p w:rsidR="00000000" w:rsidDel="00000000" w:rsidP="00000000" w:rsidRDefault="00000000" w:rsidRPr="00000000" w14:paraId="0000001A">
      <w:pPr>
        <w:numPr>
          <w:ilvl w:val="0"/>
          <w:numId w:val="1"/>
        </w:numPr>
        <w:spacing w:after="200" w:before="200" w:line="276"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V § 11 se na konci odstavce 2</w:t>
      </w:r>
      <w:r w:rsidDel="00000000" w:rsidR="00000000" w:rsidRPr="00000000">
        <w:rPr>
          <w:rtl w:val="0"/>
        </w:rPr>
        <w:t xml:space="preserve"> tečka nahrazuje čárkou a doplňuje se písmeno c), které zní:</w:t>
      </w:r>
    </w:p>
    <w:p w:rsidR="00000000" w:rsidDel="00000000" w:rsidP="00000000" w:rsidRDefault="00000000" w:rsidRPr="00000000" w14:paraId="0000001B">
      <w:pPr>
        <w:spacing w:after="200" w:before="200" w:line="276" w:lineRule="auto"/>
        <w:ind w:left="720" w:firstLine="0"/>
        <w:jc w:val="both"/>
        <w:rPr/>
      </w:pPr>
      <w:r w:rsidDel="00000000" w:rsidR="00000000" w:rsidRPr="00000000">
        <w:rPr>
          <w:rFonts w:ascii="Times New Roman" w:cs="Times New Roman" w:eastAsia="Times New Roman" w:hAnsi="Times New Roman"/>
          <w:b w:val="0"/>
          <w:bCs w:val="0"/>
          <w:sz w:val="24"/>
          <w:szCs w:val="24"/>
          <w:rtl w:val="0"/>
        </w:rPr>
        <w:t xml:space="preserve">„c) byl v průběhu kalendářního roku, za nějž se oznámení podává, nájemcem nebo společným nájemcem obecního bytu.“.</w:t>
      </w:r>
      <w:r w:rsidDel="00000000" w:rsidR="00000000" w:rsidRPr="00000000">
        <w:rPr>
          <w:rtl w:val="0"/>
        </w:rPr>
      </w:r>
    </w:p>
    <w:p w:rsidR="00000000" w:rsidDel="00000000" w:rsidP="00000000" w:rsidRDefault="00000000" w:rsidRPr="00000000" w14:paraId="0000001C">
      <w:pPr>
        <w:numPr>
          <w:ilvl w:val="0"/>
          <w:numId w:val="1"/>
        </w:numPr>
        <w:spacing w:after="200" w:before="200" w:line="276"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V § 11 se na konci odstavce 3 </w:t>
      </w:r>
      <w:r w:rsidDel="00000000" w:rsidR="00000000" w:rsidRPr="00000000">
        <w:rPr>
          <w:rtl w:val="0"/>
        </w:rPr>
        <w:t xml:space="preserve">doplňuje věta </w:t>
      </w:r>
      <w:r w:rsidDel="00000000" w:rsidR="00000000" w:rsidRPr="00000000">
        <w:rPr>
          <w:rFonts w:ascii="Times New Roman" w:cs="Times New Roman" w:eastAsia="Times New Roman" w:hAnsi="Times New Roman"/>
          <w:b w:val="0"/>
          <w:bCs w:val="0"/>
          <w:sz w:val="24"/>
          <w:szCs w:val="24"/>
          <w:rtl w:val="0"/>
        </w:rPr>
        <w:t xml:space="preserve">„Je-li veřejný funkcionář nájemcem nebo společným nájemcem obecního bytu podle odstavce 1 nebo 2, uvede název obce, hlavního města Prahy, městské části hlavního města Prahy, městské části nebo městského obvodu územně členěného statutárního města nebo právnické osoby podle odstavce 4, která je pronajímatelem nebo vlastníkem bytu, datum vzniku a případného zániku nájmu a výši sjednaného měsíčního nájemného; identifikace bytu se neuvádí.“.</w:t>
      </w:r>
      <w:r w:rsidDel="00000000" w:rsidR="00000000" w:rsidRPr="00000000">
        <w:rPr>
          <w:rtl w:val="0"/>
        </w:rPr>
      </w:r>
    </w:p>
    <w:p w:rsidR="00000000" w:rsidDel="00000000" w:rsidP="00000000" w:rsidRDefault="00000000" w:rsidRPr="00000000" w14:paraId="0000001D">
      <w:pPr>
        <w:numPr>
          <w:ilvl w:val="0"/>
          <w:numId w:val="1"/>
        </w:numPr>
        <w:spacing w:after="200" w:before="200" w:line="276" w:lineRule="auto"/>
        <w:ind w:left="720" w:hanging="360"/>
        <w:jc w:val="both"/>
        <w:rPr>
          <w:rFonts w:ascii="Times New Roman" w:cs="Times New Roman" w:eastAsia="Times New Roman" w:hAnsi="Times New Roman"/>
          <w:b w:val="0"/>
          <w:bCs w:val="0"/>
          <w:sz w:val="24"/>
          <w:szCs w:val="24"/>
          <w:u w:val="none"/>
        </w:rPr>
      </w:pPr>
      <w:r w:rsidDel="00000000" w:rsidR="00000000" w:rsidRPr="00000000">
        <w:rPr>
          <w:rFonts w:ascii="Times New Roman" w:cs="Times New Roman" w:eastAsia="Times New Roman" w:hAnsi="Times New Roman"/>
          <w:b w:val="0"/>
          <w:bCs w:val="0"/>
          <w:sz w:val="24"/>
          <w:szCs w:val="24"/>
          <w:rtl w:val="0"/>
        </w:rPr>
        <w:t xml:space="preserve">V § 11 se doplňuje odstavec 4, který zní:</w:t>
      </w:r>
    </w:p>
    <w:p w:rsidR="00000000" w:rsidDel="00000000" w:rsidP="00000000" w:rsidRDefault="00000000" w:rsidRPr="00000000" w14:paraId="0000001E">
      <w:pPr>
        <w:spacing w:after="200" w:before="200" w:line="276" w:lineRule="auto"/>
        <w:ind w:left="720" w:firstLine="0"/>
        <w:jc w:val="both"/>
        <w:rPr/>
      </w:pPr>
      <w:r w:rsidDel="00000000" w:rsidR="00000000" w:rsidRPr="00000000">
        <w:rPr>
          <w:rFonts w:ascii="Times New Roman" w:cs="Times New Roman" w:eastAsia="Times New Roman" w:hAnsi="Times New Roman"/>
          <w:b w:val="0"/>
          <w:bCs w:val="0"/>
          <w:sz w:val="24"/>
          <w:szCs w:val="24"/>
          <w:rtl w:val="0"/>
        </w:rPr>
        <w:t xml:space="preserve">„(4) Obecním bytem se pro účely tohoto zákona rozumí byt ve vlastnictví obce, hlavního města Prahy, městské části hlavního města Prahy, městské části nebo městského obvodu územně členěného statutárního města nebo právnické osoby jimi zřízené, založené nebo ovládané.“.“.</w:t>
      </w:r>
      <w:r w:rsidDel="00000000" w:rsidR="00000000" w:rsidRPr="00000000">
        <w:rPr>
          <w:rtl w:val="0"/>
        </w:rPr>
      </w:r>
    </w:p>
    <w:p w:rsidR="00000000" w:rsidDel="00000000" w:rsidP="00000000" w:rsidRDefault="00000000" w:rsidRPr="00000000" w14:paraId="0000001F">
      <w:pPr>
        <w:spacing w:after="200" w:before="200" w:line="276" w:lineRule="auto"/>
        <w:jc w:val="both"/>
        <w:rPr/>
      </w:pPr>
      <w:r w:rsidDel="00000000" w:rsidR="00000000" w:rsidRPr="00000000">
        <w:rPr>
          <w:rFonts w:ascii="Times New Roman" w:cs="Times New Roman" w:eastAsia="Times New Roman" w:hAnsi="Times New Roman"/>
          <w:b w:val="0"/>
          <w:bCs w:val="0"/>
          <w:sz w:val="24"/>
          <w:szCs w:val="24"/>
          <w:rtl w:val="0"/>
        </w:rPr>
        <w:t xml:space="preserve">Dosavadní části a články se přečíslují.</w:t>
      </w:r>
      <w:r w:rsidDel="00000000" w:rsidR="00000000" w:rsidRPr="00000000">
        <w:br w:type="page"/>
      </w:r>
      <w:r w:rsidDel="00000000" w:rsidR="00000000" w:rsidRPr="00000000">
        <w:rPr>
          <w:rtl w:val="0"/>
        </w:rPr>
      </w:r>
    </w:p>
    <w:p w:rsidR="00000000" w:rsidDel="00000000" w:rsidP="00000000" w:rsidRDefault="00000000" w:rsidRPr="00000000" w14:paraId="00000020">
      <w:pPr>
        <w:spacing w:after="200" w:before="20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O d ů v o d n ě n í</w:t>
      </w:r>
      <w:r w:rsidDel="00000000" w:rsidR="00000000" w:rsidRPr="00000000">
        <w:rPr>
          <w:rtl w:val="0"/>
        </w:rPr>
      </w:r>
    </w:p>
    <w:p w:rsidR="00000000" w:rsidDel="00000000" w:rsidP="00000000" w:rsidRDefault="00000000" w:rsidRPr="00000000" w14:paraId="00000021">
      <w:pPr>
        <w:spacing w:after="200" w:before="200" w:line="276" w:lineRule="auto"/>
        <w:jc w:val="both"/>
        <w:rPr/>
      </w:pPr>
      <w:r w:rsidDel="00000000" w:rsidR="00000000" w:rsidRPr="00000000">
        <w:rPr>
          <w:rtl w:val="0"/>
        </w:rPr>
        <w:t xml:space="preserve">Pozměňovací návrh doplňuje do zákona č. 159/2006 Sb., o střetu zájmů, oznamovací povinnost týkající se nájmu obecního bytu. Veřejný funkcionář bude v rámci oznámení o příjmech a závazcích uvádět, zda je nájemcem nebo společným nájemcem obecního bytu, a to jak ke dni předcházejícímu dni zahájení výkonu funkce, tak za kalendářní rok, za který se oznámení podává.</w:t>
      </w:r>
    </w:p>
    <w:p w:rsidR="00000000" w:rsidDel="00000000" w:rsidP="00000000" w:rsidRDefault="00000000" w:rsidRPr="00000000" w14:paraId="00000022">
      <w:pPr>
        <w:spacing w:after="200" w:before="200" w:line="276" w:lineRule="auto"/>
        <w:jc w:val="both"/>
        <w:rPr/>
      </w:pPr>
      <w:r w:rsidDel="00000000" w:rsidR="00000000" w:rsidRPr="00000000">
        <w:rPr>
          <w:rtl w:val="0"/>
        </w:rPr>
        <w:t xml:space="preserve">Navrhovaná úprava vychází z toho, že nájem bytu ve vlastnictví obce, hlavního města Prahy, městské části, městského obvodu nebo jimi ovládané právnické osoby může být okolností významnou pro posouzení možného střetu zájmů. Obecní bytový fond je součástí veřejného majetku a rozhodování o jeho správě, přidělování, podmínkách nájmu nebo kontrole užívání se může přímo dotýkat výkonu veřejné funkce. Transparentnost takového nájemního vztahu je proto legitimním prvkem prevence střetu zájmů a politiky integrity veřejné správy.</w:t>
      </w:r>
    </w:p>
    <w:p w:rsidR="00000000" w:rsidDel="00000000" w:rsidP="00000000" w:rsidRDefault="00000000" w:rsidRPr="00000000" w14:paraId="00000023">
      <w:pPr>
        <w:spacing w:after="200" w:before="200" w:line="276" w:lineRule="auto"/>
        <w:jc w:val="both"/>
        <w:rPr/>
      </w:pPr>
      <w:r w:rsidDel="00000000" w:rsidR="00000000" w:rsidRPr="00000000">
        <w:rPr>
          <w:rtl w:val="0"/>
        </w:rPr>
        <w:t xml:space="preserve">Návrh nezavádí zákaz nájmu obecního bytu veřejným funkcionářem ani nevytváří domněnku, že samotné užívání obecního bytu je protiprávní nebo nevhodné. Smyslem úpravy je pouze zajistit, aby relevantní informace byla oznámena v zákonném režimu čestných prohlášení a aby bylo možné posoudit, zda v konkrétním případě nejde o osobní zájem, majetkovou výhodu nebo okolnost vyžadující zvýšenou míru veřejné kontroly.</w:t>
      </w:r>
    </w:p>
    <w:p w:rsidR="00000000" w:rsidDel="00000000" w:rsidP="00000000" w:rsidRDefault="00000000" w:rsidRPr="00000000" w14:paraId="00000024">
      <w:pPr>
        <w:spacing w:after="200" w:before="200" w:line="276" w:lineRule="auto"/>
        <w:jc w:val="both"/>
        <w:rPr/>
      </w:pPr>
      <w:r w:rsidDel="00000000" w:rsidR="00000000" w:rsidRPr="00000000">
        <w:rPr>
          <w:rtl w:val="0"/>
        </w:rPr>
        <w:t xml:space="preserve">Zařazení do § 7 a § 11 je systematické. Ustanovení § 7 vymezuje jednotlivé druhy oznámení podávaných veřejným funkcionářem formou čestného prohlášení. Nájem obecního bytu se doplňuje k oznámení o příjmech a závazcích, protože jde o majetkově relevantní vztah veřejného funkcionáře, nikoli o samostatnou kategorii oznámení. Vlastní obsah oznamované skutečnosti je proto upraven v § 11, který již dnes soustřeďuje informace o příjmech, jiných majetkových výhodách a závazcích.</w:t>
      </w:r>
    </w:p>
    <w:p w:rsidR="00000000" w:rsidDel="00000000" w:rsidP="00000000" w:rsidRDefault="00000000" w:rsidRPr="00000000" w14:paraId="00000025">
      <w:pPr>
        <w:spacing w:after="200" w:before="200" w:line="276" w:lineRule="auto"/>
        <w:jc w:val="both"/>
        <w:rPr/>
      </w:pPr>
      <w:r w:rsidDel="00000000" w:rsidR="00000000" w:rsidRPr="00000000">
        <w:rPr>
          <w:rtl w:val="0"/>
        </w:rPr>
        <w:t xml:space="preserve">Rozsah oznamovaných údajů je navržen přiměřeně. Veřejný funkcionář uvede institucionální identifikaci pronajímatele nebo vlastníka bytu, datum vzniku a případného zániku nájmu a výši sjednaného měsíčního nájemného. Tyto údaje umožňují posoudit existenci nájemního vztahu a jeho základní majetkový význam, včetně případného zvýhodnění proti obvyklým podmínkám, aniž by se vyžadovalo zveřejnění přesné adresy nebo jiné identifikace bytu.</w:t>
      </w:r>
    </w:p>
    <w:p w:rsidR="00000000" w:rsidDel="00000000" w:rsidP="00000000" w:rsidRDefault="00000000" w:rsidRPr="00000000" w14:paraId="00000026">
      <w:pPr>
        <w:spacing w:after="200" w:before="200" w:line="276" w:lineRule="auto"/>
        <w:jc w:val="both"/>
        <w:rPr/>
      </w:pPr>
      <w:r w:rsidDel="00000000" w:rsidR="00000000" w:rsidRPr="00000000">
        <w:rPr>
          <w:rtl w:val="0"/>
        </w:rPr>
        <w:t xml:space="preserve">Výslovné vyloučení identifikace bytu představuje důležitou garanci proporcionality. Návrh sleduje transparentnost nakládání s veřejným majetkem a integritu výkonu veřejné funkce, nikoli zveřejňování informace o místě bydliště veřejného funkcionáře. Z hlediska ochrany soukromí je proto postačující, aby oznámení obsahovalo údaje umožňující ověřit povahu nájemního vztahu, nikoli lokalizační údaje o konkrétní bytové jednotce.</w:t>
      </w:r>
    </w:p>
    <w:p w:rsidR="00000000" w:rsidDel="00000000" w:rsidP="00000000" w:rsidRDefault="00000000" w:rsidRPr="00000000" w14:paraId="00000027">
      <w:pPr>
        <w:spacing w:after="200" w:before="200" w:line="276" w:lineRule="auto"/>
        <w:jc w:val="both"/>
        <w:rPr/>
      </w:pPr>
      <w:r w:rsidDel="00000000" w:rsidR="00000000" w:rsidRPr="00000000">
        <w:rPr>
          <w:rtl w:val="0"/>
        </w:rPr>
        <w:t xml:space="preserve">Definice obecního bytu zahrnuje také byty ve vlastnictví právnických osob zřízených, založených nebo ovládaných obcí, hlavním městem Prahou, městskou částí hlavního města Prahy, městskou částí nebo městským obvodem územně členěného statutárního města. Toto vymezení je nezbytné, protože obecní bytový fond může být spravován prostřednictvím městských obchodních společností, příspěvkových organizací nebo jiných právnických osob. Bez zahrnutí těchto subjektů by oznamovací povinnost mohla být obcházena pouhým organizačním nastavením správy bytového fondu.</w:t>
      </w:r>
    </w:p>
    <w:p w:rsidR="00000000" w:rsidDel="00000000" w:rsidP="00000000" w:rsidRDefault="00000000" w:rsidRPr="00000000" w14:paraId="00000028">
      <w:pPr>
        <w:spacing w:after="200" w:before="200" w:line="276" w:lineRule="auto"/>
        <w:jc w:val="both"/>
        <w:rPr/>
      </w:pPr>
      <w:r w:rsidDel="00000000" w:rsidR="00000000" w:rsidRPr="00000000">
        <w:rPr>
          <w:rtl w:val="0"/>
        </w:rPr>
        <w:t xml:space="preserve">Navržená úprava zapadá do širšího pojetí politiky integrity, podle něhož má veřejný funkcionář poskytovat veřejnosti a kontrolním orgánům dostatečné informace o majetkových vztazích, které mohou ovlivňovat nebo zpochybňovat nestranný výkon funkce. U obecního nájemního bydlení je tento požadavek zvlášť významný, protože jde o oblast, v níž se střetává veřejný majetek, bytová politika, rozhodování samosprávy a zájem na rovném a nediskriminačním přístupu k omezeným veřejným zdrojům.</w:t>
      </w:r>
    </w:p>
    <w:p w:rsidR="00000000" w:rsidDel="00000000" w:rsidP="00000000" w:rsidRDefault="00000000" w:rsidRPr="00000000" w14:paraId="00000029">
      <w:pPr>
        <w:spacing w:after="200" w:before="200" w:line="276" w:lineRule="auto"/>
        <w:jc w:val="both"/>
        <w:rPr/>
      </w:pPr>
      <w:r w:rsidDel="00000000" w:rsidR="00000000" w:rsidRPr="00000000">
        <w:rPr>
          <w:rtl w:val="0"/>
        </w:rPr>
        <w:t xml:space="preserve">Není třeba doplňovat zvláštní sankční ustanovení. Povinnost oznámit nájem obecního bytu bude součástí oznámení podle § 11, a její nesplnění, uvedení neúplných, nepřesných nebo nepravdivých údajů či opožděné podání oznámení bude podléhat obecné odpovědnosti za přestupek podle zákona o střetu zájmů. Návrh tak využívá stávající kontrolní a sankční mechanismus a doplňuje pouze věcný rozsah oznamovaných údajů.</w:t>
      </w:r>
      <w:r w:rsidDel="00000000" w:rsidR="00000000" w:rsidRPr="00000000">
        <w:br w:type="page"/>
      </w:r>
      <w:r w:rsidDel="00000000" w:rsidR="00000000" w:rsidRPr="00000000">
        <w:rPr>
          <w:rtl w:val="0"/>
        </w:rPr>
      </w:r>
    </w:p>
    <w:p w:rsidR="00000000" w:rsidDel="00000000" w:rsidP="00000000" w:rsidRDefault="00000000" w:rsidRPr="00000000" w14:paraId="0000002A">
      <w:pPr>
        <w:spacing w:after="200" w:before="200" w:line="276" w:lineRule="auto"/>
        <w:ind w:firstLine="425"/>
        <w:jc w:val="center"/>
        <w:rPr/>
      </w:pPr>
      <w:r w:rsidDel="00000000" w:rsidR="00000000" w:rsidRPr="00000000">
        <w:rPr>
          <w:rFonts w:ascii="Times New Roman" w:cs="Times New Roman" w:eastAsia="Times New Roman" w:hAnsi="Times New Roman"/>
          <w:b w:val="1"/>
          <w:bCs w:val="1"/>
          <w:sz w:val="24"/>
          <w:szCs w:val="24"/>
          <w:rtl w:val="0"/>
        </w:rPr>
        <w:t xml:space="preserve">PLATNÉ ZNĚNÍ DOTČENÝCH USTANOVENÍ ZÁKONA Č. 159/2006 SB., O STŘETU ZÁJMŮ, S VYZNAČENÍM NAVRHOVANÝCH ZMĚN A DOPLNĚNÍ</w:t>
      </w:r>
      <w:r w:rsidDel="00000000" w:rsidR="00000000" w:rsidRPr="00000000">
        <w:rPr>
          <w:rtl w:val="0"/>
        </w:rPr>
      </w:r>
    </w:p>
    <w:p w:rsidR="00000000" w:rsidDel="00000000" w:rsidP="00000000" w:rsidRDefault="00000000" w:rsidRPr="00000000" w14:paraId="0000002B">
      <w:pPr>
        <w:spacing w:after="200" w:before="200" w:line="276" w:lineRule="auto"/>
        <w:jc w:val="left"/>
        <w:rPr/>
      </w:pPr>
      <w:r w:rsidDel="00000000" w:rsidR="00000000" w:rsidRPr="00000000">
        <w:rPr>
          <w:rtl w:val="0"/>
        </w:rPr>
      </w:r>
    </w:p>
    <w:p w:rsidR="00000000" w:rsidDel="00000000" w:rsidP="00000000" w:rsidRDefault="00000000" w:rsidRPr="00000000" w14:paraId="0000002C">
      <w:pPr>
        <w:spacing w:after="200" w:before="20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 7</w:t>
      </w:r>
      <w:r w:rsidDel="00000000" w:rsidR="00000000" w:rsidRPr="00000000">
        <w:rPr>
          <w:rtl w:val="0"/>
        </w:rPr>
      </w:r>
    </w:p>
    <w:p w:rsidR="00000000" w:rsidDel="00000000" w:rsidP="00000000" w:rsidRDefault="00000000" w:rsidRPr="00000000" w14:paraId="0000002D">
      <w:pPr>
        <w:spacing w:after="200" w:before="200" w:line="276" w:lineRule="auto"/>
        <w:jc w:val="center"/>
        <w:rPr>
          <w:b w:val="1"/>
          <w:bCs w:val="1"/>
        </w:rPr>
      </w:pPr>
      <w:r w:rsidDel="00000000" w:rsidR="00000000" w:rsidRPr="00000000">
        <w:rPr>
          <w:b w:val="1"/>
          <w:bCs w:val="1"/>
          <w:sz w:val="24"/>
          <w:szCs w:val="24"/>
          <w:rtl w:val="0"/>
        </w:rPr>
        <w:t xml:space="preserve">Čestné prohlášení</w:t>
      </w:r>
      <w:r w:rsidDel="00000000" w:rsidR="00000000" w:rsidRPr="00000000">
        <w:rPr>
          <w:rtl w:val="0"/>
        </w:rPr>
      </w:r>
    </w:p>
    <w:p w:rsidR="00000000" w:rsidDel="00000000" w:rsidP="00000000" w:rsidRDefault="00000000" w:rsidRPr="00000000" w14:paraId="0000002E">
      <w:pPr>
        <w:spacing w:after="200" w:before="200" w:line="276" w:lineRule="auto"/>
        <w:ind w:firstLine="720"/>
        <w:jc w:val="both"/>
        <w:rPr/>
      </w:pPr>
      <w:r w:rsidDel="00000000" w:rsidR="00000000" w:rsidRPr="00000000">
        <w:rPr>
          <w:rFonts w:ascii="Times New Roman" w:cs="Times New Roman" w:eastAsia="Times New Roman" w:hAnsi="Times New Roman"/>
          <w:b w:val="0"/>
          <w:bCs w:val="0"/>
          <w:sz w:val="24"/>
          <w:szCs w:val="24"/>
          <w:rtl w:val="0"/>
        </w:rPr>
        <w:t xml:space="preserve">Veřejný funkcionář podává formou čestného prohlášení oznámení o</w:t>
      </w:r>
      <w:r w:rsidDel="00000000" w:rsidR="00000000" w:rsidRPr="00000000">
        <w:rPr>
          <w:rtl w:val="0"/>
        </w:rPr>
      </w:r>
    </w:p>
    <w:p w:rsidR="00000000" w:rsidDel="00000000" w:rsidP="00000000" w:rsidRDefault="00000000" w:rsidRPr="00000000" w14:paraId="0000002F">
      <w:pPr>
        <w:spacing w:after="200" w:before="200" w:line="276" w:lineRule="auto"/>
        <w:ind w:firstLine="720"/>
        <w:jc w:val="both"/>
        <w:rPr/>
      </w:pPr>
      <w:r w:rsidDel="00000000" w:rsidR="00000000" w:rsidRPr="00000000">
        <w:rPr>
          <w:rFonts w:ascii="Times New Roman" w:cs="Times New Roman" w:eastAsia="Times New Roman" w:hAnsi="Times New Roman"/>
          <w:b w:val="0"/>
          <w:bCs w:val="0"/>
          <w:sz w:val="24"/>
          <w:szCs w:val="24"/>
          <w:rtl w:val="0"/>
        </w:rPr>
        <w:t xml:space="preserve">a) osobním zájmu (dále jen „oznámení o osobním zájmu“),</w:t>
      </w:r>
      <w:r w:rsidDel="00000000" w:rsidR="00000000" w:rsidRPr="00000000">
        <w:rPr>
          <w:rtl w:val="0"/>
        </w:rPr>
      </w:r>
    </w:p>
    <w:p w:rsidR="00000000" w:rsidDel="00000000" w:rsidP="00000000" w:rsidRDefault="00000000" w:rsidRPr="00000000" w14:paraId="00000030">
      <w:pPr>
        <w:spacing w:after="200" w:before="200" w:line="276" w:lineRule="auto"/>
        <w:ind w:firstLine="720"/>
        <w:jc w:val="both"/>
        <w:rPr/>
      </w:pPr>
      <w:r w:rsidDel="00000000" w:rsidR="00000000" w:rsidRPr="00000000">
        <w:rPr>
          <w:rFonts w:ascii="Times New Roman" w:cs="Times New Roman" w:eastAsia="Times New Roman" w:hAnsi="Times New Roman"/>
          <w:b w:val="0"/>
          <w:bCs w:val="0"/>
          <w:sz w:val="24"/>
          <w:szCs w:val="24"/>
          <w:rtl w:val="0"/>
        </w:rPr>
        <w:t xml:space="preserve">b) jiných vykonávaných činnostech (dále jen „oznámení o činnostech“),</w:t>
      </w:r>
      <w:r w:rsidDel="00000000" w:rsidR="00000000" w:rsidRPr="00000000">
        <w:rPr>
          <w:rtl w:val="0"/>
        </w:rPr>
      </w:r>
    </w:p>
    <w:p w:rsidR="00000000" w:rsidDel="00000000" w:rsidP="00000000" w:rsidRDefault="00000000" w:rsidRPr="00000000" w14:paraId="00000031">
      <w:pPr>
        <w:spacing w:after="200" w:before="200" w:line="276" w:lineRule="auto"/>
        <w:ind w:firstLine="720"/>
        <w:jc w:val="both"/>
        <w:rPr/>
      </w:pPr>
      <w:r w:rsidDel="00000000" w:rsidR="00000000" w:rsidRPr="00000000">
        <w:rPr>
          <w:rFonts w:ascii="Times New Roman" w:cs="Times New Roman" w:eastAsia="Times New Roman" w:hAnsi="Times New Roman"/>
          <w:b w:val="0"/>
          <w:bCs w:val="0"/>
          <w:sz w:val="24"/>
          <w:szCs w:val="24"/>
          <w:rtl w:val="0"/>
        </w:rPr>
        <w:t xml:space="preserve">c) majetku, který vlastní ke dni předcházejícímu dni zahájení výkonu funkce, a majetku nabytém v průběhu výkonu funkce (dále jen „oznámení o majetku“),</w:t>
      </w:r>
      <w:r w:rsidDel="00000000" w:rsidR="00000000" w:rsidRPr="00000000">
        <w:rPr>
          <w:rtl w:val="0"/>
        </w:rPr>
      </w:r>
    </w:p>
    <w:p w:rsidR="00000000" w:rsidDel="00000000" w:rsidP="00000000" w:rsidRDefault="00000000" w:rsidRPr="00000000" w14:paraId="00000032">
      <w:pPr>
        <w:spacing w:after="200" w:before="200" w:line="276" w:lineRule="auto"/>
        <w:ind w:firstLine="720"/>
        <w:jc w:val="both"/>
        <w:rPr/>
      </w:pPr>
      <w:r w:rsidDel="00000000" w:rsidR="00000000" w:rsidRPr="00000000">
        <w:rPr>
          <w:rFonts w:ascii="Times New Roman" w:cs="Times New Roman" w:eastAsia="Times New Roman" w:hAnsi="Times New Roman"/>
          <w:b w:val="0"/>
          <w:bCs w:val="0"/>
          <w:sz w:val="24"/>
          <w:szCs w:val="24"/>
          <w:rtl w:val="0"/>
        </w:rPr>
        <w:t xml:space="preserve">d) příjmech, závazcích </w:t>
      </w:r>
      <w:r w:rsidDel="00000000" w:rsidR="00000000" w:rsidRPr="00000000">
        <w:rPr>
          <w:rFonts w:ascii="Times New Roman" w:cs="Times New Roman" w:eastAsia="Times New Roman" w:hAnsi="Times New Roman"/>
          <w:b w:val="1"/>
          <w:bCs w:val="1"/>
          <w:sz w:val="24"/>
          <w:szCs w:val="24"/>
          <w:rtl w:val="0"/>
        </w:rPr>
        <w:t xml:space="preserve">a nájmu obecního bytu</w:t>
      </w:r>
      <w:r w:rsidDel="00000000" w:rsidR="00000000" w:rsidRPr="00000000">
        <w:rPr>
          <w:rFonts w:ascii="Times New Roman" w:cs="Times New Roman" w:eastAsia="Times New Roman" w:hAnsi="Times New Roman"/>
          <w:b w:val="0"/>
          <w:bCs w:val="0"/>
          <w:sz w:val="24"/>
          <w:szCs w:val="24"/>
          <w:rtl w:val="0"/>
        </w:rPr>
        <w:t xml:space="preserve"> (dále jen „oznámení o příjmech a závazcích“).</w:t>
      </w:r>
      <w:r w:rsidDel="00000000" w:rsidR="00000000" w:rsidRPr="00000000">
        <w:rPr>
          <w:rtl w:val="0"/>
        </w:rPr>
      </w:r>
    </w:p>
    <w:p w:rsidR="00000000" w:rsidDel="00000000" w:rsidP="00000000" w:rsidRDefault="00000000" w:rsidRPr="00000000" w14:paraId="00000033">
      <w:pPr>
        <w:spacing w:after="200" w:before="200" w:line="276" w:lineRule="auto"/>
        <w:rPr/>
      </w:pPr>
      <w:r w:rsidDel="00000000" w:rsidR="00000000" w:rsidRPr="00000000">
        <w:rPr>
          <w:rtl w:val="0"/>
        </w:rPr>
      </w:r>
    </w:p>
    <w:p w:rsidR="00000000" w:rsidDel="00000000" w:rsidP="00000000" w:rsidRDefault="00000000" w:rsidRPr="00000000" w14:paraId="00000034">
      <w:pPr>
        <w:spacing w:after="200" w:before="20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 11</w:t>
      </w:r>
      <w:r w:rsidDel="00000000" w:rsidR="00000000" w:rsidRPr="00000000">
        <w:rPr>
          <w:rtl w:val="0"/>
        </w:rPr>
      </w:r>
    </w:p>
    <w:p w:rsidR="00000000" w:rsidDel="00000000" w:rsidP="00000000" w:rsidRDefault="00000000" w:rsidRPr="00000000" w14:paraId="00000035">
      <w:pPr>
        <w:spacing w:after="200" w:before="200" w:line="276" w:lineRule="auto"/>
        <w:jc w:val="center"/>
        <w:rPr/>
      </w:pPr>
      <w:r w:rsidDel="00000000" w:rsidR="00000000" w:rsidRPr="00000000">
        <w:rPr>
          <w:rFonts w:ascii="Times New Roman" w:cs="Times New Roman" w:eastAsia="Times New Roman" w:hAnsi="Times New Roman"/>
          <w:b w:val="1"/>
          <w:bCs w:val="1"/>
          <w:sz w:val="24"/>
          <w:szCs w:val="24"/>
          <w:rtl w:val="0"/>
        </w:rPr>
        <w:t xml:space="preserve">Oznámení o příjmech</w:t>
      </w:r>
      <w:r w:rsidDel="00000000" w:rsidR="00000000" w:rsidRPr="00000000">
        <w:rPr>
          <w:b w:val="1"/>
          <w:bCs w:val="1"/>
          <w:rtl w:val="0"/>
        </w:rPr>
        <w:t xml:space="preserve"> a </w:t>
      </w:r>
      <w:r w:rsidDel="00000000" w:rsidR="00000000" w:rsidRPr="00000000">
        <w:rPr>
          <w:rFonts w:ascii="Times New Roman" w:cs="Times New Roman" w:eastAsia="Times New Roman" w:hAnsi="Times New Roman"/>
          <w:b w:val="1"/>
          <w:bCs w:val="1"/>
          <w:sz w:val="24"/>
          <w:szCs w:val="24"/>
          <w:rtl w:val="0"/>
        </w:rPr>
        <w:t xml:space="preserve">závazcích</w:t>
      </w:r>
      <w:r w:rsidDel="00000000" w:rsidR="00000000" w:rsidRPr="00000000">
        <w:rPr>
          <w:rtl w:val="0"/>
        </w:rPr>
      </w:r>
    </w:p>
    <w:p w:rsidR="00000000" w:rsidDel="00000000" w:rsidP="00000000" w:rsidRDefault="00000000" w:rsidRPr="00000000" w14:paraId="00000036">
      <w:pPr>
        <w:spacing w:after="200" w:before="200" w:line="276" w:lineRule="auto"/>
        <w:ind w:firstLine="720"/>
        <w:jc w:val="both"/>
        <w:rPr/>
      </w:pPr>
      <w:r w:rsidDel="00000000" w:rsidR="00000000" w:rsidRPr="00000000">
        <w:rPr>
          <w:rFonts w:ascii="Times New Roman" w:cs="Times New Roman" w:eastAsia="Times New Roman" w:hAnsi="Times New Roman"/>
          <w:b w:val="0"/>
          <w:bCs w:val="0"/>
          <w:sz w:val="24"/>
          <w:szCs w:val="24"/>
          <w:rtl w:val="0"/>
        </w:rPr>
        <w:t xml:space="preserve">(1) Veřejný funkcionář je povinen přesně, úplně a pravdivě oznámit nesplacené závazky, které má ke dni předcházejícímu dni zahájení výkonu funkce</w:t>
      </w:r>
      <w:r w:rsidDel="00000000" w:rsidR="00000000" w:rsidRPr="00000000">
        <w:rPr>
          <w:rFonts w:ascii="Times New Roman" w:cs="Times New Roman" w:eastAsia="Times New Roman" w:hAnsi="Times New Roman"/>
          <w:b w:val="1"/>
          <w:bCs w:val="1"/>
          <w:sz w:val="24"/>
          <w:szCs w:val="24"/>
          <w:rtl w:val="0"/>
        </w:rPr>
        <w:t xml:space="preserve">, a zda je ke dni předcházejícímu dni zahájení výkonu funkce nájemcem nebo společným nájemcem obecního bytu</w:t>
      </w:r>
      <w:r w:rsidDel="00000000" w:rsidR="00000000" w:rsidRPr="00000000">
        <w:rPr>
          <w:rFonts w:ascii="Times New Roman" w:cs="Times New Roman" w:eastAsia="Times New Roman" w:hAnsi="Times New Roman"/>
          <w:b w:val="0"/>
          <w:bCs w:val="0"/>
          <w:sz w:val="24"/>
          <w:szCs w:val="24"/>
          <w:rtl w:val="0"/>
        </w:rPr>
        <w:t xml:space="preserve">. V tomto oznámení uvede nesplacené závazky převyšující v jednotlivém případě částku 100 000 Kč </w:t>
      </w:r>
      <w:r w:rsidDel="00000000" w:rsidR="00000000" w:rsidRPr="00000000">
        <w:rPr>
          <w:rFonts w:ascii="Times New Roman" w:cs="Times New Roman" w:eastAsia="Times New Roman" w:hAnsi="Times New Roman"/>
          <w:b w:val="1"/>
          <w:bCs w:val="1"/>
          <w:sz w:val="24"/>
          <w:szCs w:val="24"/>
          <w:rtl w:val="0"/>
        </w:rPr>
        <w:t xml:space="preserve">a údaje podle odstavce </w:t>
      </w:r>
      <w:r w:rsidDel="00000000" w:rsidR="00000000" w:rsidRPr="00000000">
        <w:rPr>
          <w:b w:val="1"/>
          <w:bCs w:val="1"/>
          <w:rtl w:val="0"/>
        </w:rPr>
        <w:t xml:space="preserve">3 věty druhé</w:t>
      </w:r>
      <w:r w:rsidDel="00000000" w:rsidR="00000000" w:rsidRPr="00000000">
        <w:rPr>
          <w:rFonts w:ascii="Times New Roman" w:cs="Times New Roman" w:eastAsia="Times New Roman" w:hAnsi="Times New Roman"/>
          <w:b w:val="0"/>
          <w:bCs w:val="0"/>
          <w:sz w:val="24"/>
          <w:szCs w:val="24"/>
          <w:rtl w:val="0"/>
        </w:rPr>
        <w:t xml:space="preserve">.</w:t>
      </w:r>
      <w:r w:rsidDel="00000000" w:rsidR="00000000" w:rsidRPr="00000000">
        <w:rPr>
          <w:rtl w:val="0"/>
        </w:rPr>
      </w:r>
    </w:p>
    <w:p w:rsidR="00000000" w:rsidDel="00000000" w:rsidP="00000000" w:rsidRDefault="00000000" w:rsidRPr="00000000" w14:paraId="00000037">
      <w:pPr>
        <w:spacing w:after="200" w:before="200" w:line="276" w:lineRule="auto"/>
        <w:ind w:firstLine="720"/>
        <w:jc w:val="both"/>
        <w:rPr/>
      </w:pPr>
      <w:r w:rsidDel="00000000" w:rsidR="00000000" w:rsidRPr="00000000">
        <w:rPr>
          <w:rFonts w:ascii="Times New Roman" w:cs="Times New Roman" w:eastAsia="Times New Roman" w:hAnsi="Times New Roman"/>
          <w:b w:val="0"/>
          <w:bCs w:val="0"/>
          <w:sz w:val="24"/>
          <w:szCs w:val="24"/>
          <w:rtl w:val="0"/>
        </w:rPr>
        <w:t xml:space="preserve">(2) Veřejný funkcionář je povinen přesně, úplně a pravdivě oznámit, že</w:t>
      </w:r>
      <w:r w:rsidDel="00000000" w:rsidR="00000000" w:rsidRPr="00000000">
        <w:rPr>
          <w:rtl w:val="0"/>
        </w:rPr>
      </w:r>
    </w:p>
    <w:p w:rsidR="00000000" w:rsidDel="00000000" w:rsidP="00000000" w:rsidRDefault="00000000" w:rsidRPr="00000000" w14:paraId="00000038">
      <w:pPr>
        <w:spacing w:after="200" w:before="200" w:line="276" w:lineRule="auto"/>
        <w:ind w:firstLine="720"/>
        <w:jc w:val="both"/>
        <w:rPr/>
      </w:pPr>
      <w:r w:rsidDel="00000000" w:rsidR="00000000" w:rsidRPr="00000000">
        <w:rPr>
          <w:rFonts w:ascii="Times New Roman" w:cs="Times New Roman" w:eastAsia="Times New Roman" w:hAnsi="Times New Roman"/>
          <w:b w:val="0"/>
          <w:bCs w:val="0"/>
          <w:sz w:val="24"/>
          <w:szCs w:val="24"/>
          <w:rtl w:val="0"/>
        </w:rPr>
        <w:t xml:space="preserve">a) během výkonu funkce získal jakékoliv peněžité příjmy nebo jiné majetkové výhody, zejména dary, s výjimkou darů uvedených v oznámení o majetku podle § 10, odměny, příjmy z podnikatelské nebo jiné samostatné výdělečné činnosti, dividendy nebo jiné příjmy z účasti nebo činnosti v podnikajících právnických osobách (dále jen „příjmy nebo jiné majetkové výhody“), pokud souhrnná výše příjmů nebo jiných majetkových výhod přesáhne v kalendářním roce 100 000 Kč; za peněžitý příjem nebo jinou majetkovou výhodu se pro tento účel nepovažují plat, odměna nebo další náležitosti, na které má veřejný funkcionář nárok v souvislosti s výkonem funkce podle zvláštních právních předpisů, a příjmy manžela nebo partnera veřejného funkcionáře; do tohoto souhrnu se nezapočítávají dary, jejichž cena je nižší než 10 000 Kč,</w:t>
      </w:r>
      <w:r w:rsidDel="00000000" w:rsidR="00000000" w:rsidRPr="00000000">
        <w:rPr>
          <w:rtl w:val="0"/>
        </w:rPr>
      </w:r>
    </w:p>
    <w:p w:rsidR="00000000" w:rsidDel="00000000" w:rsidP="00000000" w:rsidRDefault="00000000" w:rsidRPr="00000000" w14:paraId="00000039">
      <w:pPr>
        <w:spacing w:after="200" w:before="200" w:line="276" w:lineRule="auto"/>
        <w:ind w:firstLine="720"/>
        <w:jc w:val="both"/>
        <w:rPr/>
      </w:pPr>
      <w:r w:rsidDel="00000000" w:rsidR="00000000" w:rsidRPr="00000000">
        <w:rPr>
          <w:rFonts w:ascii="Times New Roman" w:cs="Times New Roman" w:eastAsia="Times New Roman" w:hAnsi="Times New Roman"/>
          <w:b w:val="0"/>
          <w:bCs w:val="0"/>
          <w:sz w:val="24"/>
          <w:szCs w:val="24"/>
          <w:rtl w:val="0"/>
        </w:rPr>
        <w:t xml:space="preserve">b) má nesplacené závazky, zejména půjčky, úvěry, nájemné, závazky ze smlouvy o nájmu s právem koupě nebo směnečné závazky, pokud souhrnná výše závazků přesáhla k 31. prosinci kalendářního roku, za nějž se oznámení podává, částku 100 000 Kč</w:t>
      </w:r>
      <w:r w:rsidDel="00000000" w:rsidR="00000000" w:rsidRPr="00000000">
        <w:rPr>
          <w:rFonts w:ascii="Times New Roman" w:cs="Times New Roman" w:eastAsia="Times New Roman" w:hAnsi="Times New Roman"/>
          <w:b w:val="0"/>
          <w:bCs w:val="0"/>
          <w:strike w:val="1"/>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p w:rsidR="00000000" w:rsidDel="00000000" w:rsidP="00000000" w:rsidRDefault="00000000" w:rsidRPr="00000000" w14:paraId="0000003A">
      <w:pPr>
        <w:spacing w:after="200" w:before="200" w:line="276"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c) byl v průběhu kalendářního roku, za nějž se oznámení podává, nájemcem nebo společným nájemcem obecního bytu.</w:t>
      </w:r>
      <w:r w:rsidDel="00000000" w:rsidR="00000000" w:rsidRPr="00000000">
        <w:rPr>
          <w:rtl w:val="0"/>
        </w:rPr>
      </w:r>
    </w:p>
    <w:p w:rsidR="00000000" w:rsidDel="00000000" w:rsidP="00000000" w:rsidRDefault="00000000" w:rsidRPr="00000000" w14:paraId="0000003B">
      <w:pPr>
        <w:spacing w:after="200" w:before="200" w:line="276" w:lineRule="auto"/>
        <w:ind w:firstLine="720"/>
        <w:jc w:val="both"/>
        <w:rPr/>
      </w:pPr>
      <w:r w:rsidDel="00000000" w:rsidR="00000000" w:rsidRPr="00000000">
        <w:rPr>
          <w:rFonts w:ascii="Times New Roman" w:cs="Times New Roman" w:eastAsia="Times New Roman" w:hAnsi="Times New Roman"/>
          <w:b w:val="0"/>
          <w:bCs w:val="0"/>
          <w:sz w:val="24"/>
          <w:szCs w:val="24"/>
          <w:rtl w:val="0"/>
        </w:rPr>
        <w:t xml:space="preserve">(3) Veřejný funkcionář je povinen v oznámení uvést výši, druh a zdroj každého příjmu podle odstavce 2 písm. a) a výši a druh závazku podle odstavce 1 a odstavce 2 písm. b), včetně toho, vůči komu takový závazek má; fyzickou osobu označí jménem, popřípadě jmény a příjmením, právnickou osobu označí obchodní firmou nebo názvem, identifikačním číslem osoby a sídlem. </w:t>
      </w:r>
      <w:r w:rsidDel="00000000" w:rsidR="00000000" w:rsidRPr="00000000">
        <w:rPr>
          <w:rFonts w:ascii="Times New Roman" w:cs="Times New Roman" w:eastAsia="Times New Roman" w:hAnsi="Times New Roman"/>
          <w:b w:val="1"/>
          <w:bCs w:val="1"/>
          <w:sz w:val="24"/>
          <w:szCs w:val="24"/>
          <w:rtl w:val="0"/>
        </w:rPr>
        <w:t xml:space="preserve">Je-li veřejný funkcionář nájemcem nebo společným nájemcem obecního bytu podle odstavce 1 nebo 2, uvede název obce, hlavního města Prahy, městské části hlavního města Prahy, městské části nebo městského obvodu územně členěného statutárního města nebo právnické osoby podle odstavce 4, která je pronajímatelem nebo vlastníkem bytu, datum vzniku a případného zániku nájmu a výši sjednaného měsíčního nájemného; identifikace bytu se neuvádí.</w:t>
      </w:r>
      <w:r w:rsidDel="00000000" w:rsidR="00000000" w:rsidRPr="00000000">
        <w:rPr>
          <w:rtl w:val="0"/>
        </w:rPr>
      </w:r>
    </w:p>
    <w:p w:rsidR="00000000" w:rsidDel="00000000" w:rsidP="00000000" w:rsidRDefault="00000000" w:rsidRPr="00000000" w14:paraId="0000003C">
      <w:pPr>
        <w:spacing w:after="200" w:before="200" w:line="276" w:lineRule="auto"/>
        <w:ind w:firstLine="720"/>
        <w:jc w:val="both"/>
        <w:rPr/>
      </w:pPr>
      <w:r w:rsidDel="00000000" w:rsidR="00000000" w:rsidRPr="00000000">
        <w:rPr>
          <w:rFonts w:ascii="Times New Roman" w:cs="Times New Roman" w:eastAsia="Times New Roman" w:hAnsi="Times New Roman"/>
          <w:b w:val="1"/>
          <w:bCs w:val="1"/>
          <w:sz w:val="24"/>
          <w:szCs w:val="24"/>
          <w:rtl w:val="0"/>
        </w:rPr>
        <w:t xml:space="preserve">(4) Obecním bytem se pro účely tohoto zákona rozumí byt ve vlastnictví obce, hlavního města Prahy, městské části hlavního města Prahy, městské části nebo městského obvodu územně členěného statutárního města nebo právnické osoby jimi zřízené, založené nebo ovládané.</w:t>
      </w:r>
      <w:r w:rsidDel="00000000" w:rsidR="00000000" w:rsidRPr="00000000">
        <w:rPr>
          <w:rtl w:val="0"/>
        </w:rPr>
      </w:r>
    </w:p>
    <w:sectPr>
      <w:headerReference r:id="rId6" w:type="default"/>
      <w:pgSz w:h="15840" w:w="12240"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