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b w:val="1"/>
          <w:bCs w:val="1"/>
          <w:sz w:val="22"/>
          <w:szCs w:val="22"/>
        </w:rPr>
      </w:pPr>
      <w:r w:rsidDel="00000000" w:rsidR="00000000" w:rsidRPr="00000000">
        <w:rPr>
          <w:b w:val="1"/>
          <w:bCs w:val="1"/>
          <w:sz w:val="22"/>
          <w:szCs w:val="22"/>
        </w:rPr>
        <w:drawing>
          <wp:inline distB="0" distT="0" distL="0" distR="0">
            <wp:extent cx="2080260" cy="1082040"/>
            <wp:effectExtent b="0" l="0" r="0" t="0"/>
            <wp:docPr descr="Obsah obrázku Písmo, skica, klipart, Perokresba&#10;&#10;Obsah generovaný pomocí AI může být nesprávný." id="1" name="image1.jpg"/>
            <a:graphic>
              <a:graphicData uri="http://schemas.openxmlformats.org/drawingml/2006/picture">
                <pic:pic>
                  <pic:nvPicPr>
                    <pic:cNvPr descr="Obsah obrázku Písmo, skica, klipart, Perokresba&#10;&#10;Obsah generovaný pomocí AI může být nesprávný." id="0" name="image1.jpg"/>
                    <pic:cNvPicPr preferRelativeResize="0"/>
                  </pic:nvPicPr>
                  <pic:blipFill>
                    <a:blip r:embed="rId7"/>
                    <a:srcRect b="0" l="0" r="0" t="0"/>
                    <a:stretch>
                      <a:fillRect/>
                    </a:stretch>
                  </pic:blipFill>
                  <pic:spPr>
                    <a:xfrm>
                      <a:off x="0" y="0"/>
                      <a:ext cx="208026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120" w:before="120" w:line="276" w:lineRule="auto"/>
        <w:jc w:val="center"/>
        <w:rPr>
          <w:sz w:val="22"/>
          <w:szCs w:val="22"/>
        </w:rPr>
      </w:pPr>
      <w:r w:rsidDel="00000000" w:rsidR="00000000" w:rsidRPr="00000000">
        <w:rPr>
          <w:rtl w:val="0"/>
        </w:rPr>
      </w:r>
    </w:p>
    <w:p w:rsidR="00000000" w:rsidDel="00000000" w:rsidP="00000000" w:rsidRDefault="00000000" w:rsidRPr="00000000" w14:paraId="00000003">
      <w:pPr>
        <w:spacing w:after="120" w:before="120" w:line="276" w:lineRule="auto"/>
        <w:jc w:val="center"/>
        <w:rPr>
          <w:b w:val="1"/>
          <w:bCs w:val="1"/>
          <w:sz w:val="22"/>
          <w:szCs w:val="22"/>
        </w:rPr>
      </w:pPr>
      <w:r w:rsidDel="00000000" w:rsidR="00000000" w:rsidRPr="00000000">
        <w:rPr>
          <w:b w:val="1"/>
          <w:bCs w:val="1"/>
          <w:sz w:val="22"/>
          <w:szCs w:val="22"/>
          <w:rtl w:val="0"/>
        </w:rPr>
        <w:t xml:space="preserve">PARLAMENT ČESKÉ REPUBLIKY</w:t>
      </w:r>
    </w:p>
    <w:p w:rsidR="00000000" w:rsidDel="00000000" w:rsidP="00000000" w:rsidRDefault="00000000" w:rsidRPr="00000000" w14:paraId="00000004">
      <w:pPr>
        <w:spacing w:after="120" w:before="120" w:line="276" w:lineRule="auto"/>
        <w:jc w:val="center"/>
        <w:rPr>
          <w:sz w:val="22"/>
          <w:szCs w:val="22"/>
        </w:rPr>
      </w:pPr>
      <w:r w:rsidDel="00000000" w:rsidR="00000000" w:rsidRPr="00000000">
        <w:rPr>
          <w:sz w:val="22"/>
          <w:szCs w:val="22"/>
          <w:rtl w:val="0"/>
        </w:rPr>
        <w:t xml:space="preserve">Poslanecká sněmovna</w:t>
      </w:r>
    </w:p>
    <w:p w:rsidR="00000000" w:rsidDel="00000000" w:rsidP="00000000" w:rsidRDefault="00000000" w:rsidRPr="00000000" w14:paraId="00000005">
      <w:pPr>
        <w:spacing w:after="120" w:before="120" w:line="276"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06">
      <w:pPr>
        <w:spacing w:after="120" w:before="120" w:line="276" w:lineRule="auto"/>
        <w:jc w:val="center"/>
        <w:rPr>
          <w:sz w:val="22"/>
          <w:szCs w:val="22"/>
        </w:rPr>
      </w:pPr>
      <w:r w:rsidDel="00000000" w:rsidR="00000000" w:rsidRPr="00000000">
        <w:rPr>
          <w:sz w:val="22"/>
          <w:szCs w:val="22"/>
          <w:rtl w:val="0"/>
        </w:rPr>
        <w:t xml:space="preserve">X. volební období</w:t>
      </w:r>
    </w:p>
    <w:p w:rsidR="00000000" w:rsidDel="00000000" w:rsidP="00000000" w:rsidRDefault="00000000" w:rsidRPr="00000000" w14:paraId="00000007">
      <w:pPr>
        <w:spacing w:after="120" w:before="120" w:line="276" w:lineRule="auto"/>
        <w:jc w:val="center"/>
        <w:rPr>
          <w:b w:val="1"/>
          <w:bCs w:val="1"/>
          <w:sz w:val="22"/>
          <w:szCs w:val="22"/>
        </w:rPr>
      </w:pPr>
      <w:r w:rsidDel="00000000" w:rsidR="00000000" w:rsidRPr="00000000">
        <w:rPr>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08">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9">
      <w:pPr>
        <w:keepNext w:val="1"/>
        <w:keepLines w:val="1"/>
        <w:widowControl w:val="0"/>
        <w:spacing w:after="120" w:before="120" w:line="276" w:lineRule="auto"/>
        <w:jc w:val="center"/>
        <w:rPr>
          <w:b w:val="1"/>
          <w:bCs w:val="1"/>
          <w:sz w:val="22"/>
          <w:szCs w:val="22"/>
        </w:rPr>
      </w:pPr>
      <w:r w:rsidDel="00000000" w:rsidR="00000000" w:rsidRPr="00000000">
        <w:rPr>
          <w:b w:val="1"/>
          <w:bCs w:val="1"/>
          <w:sz w:val="22"/>
          <w:szCs w:val="22"/>
          <w:rtl w:val="0"/>
        </w:rPr>
        <w:t xml:space="preserve">Pozměňovací návrh poslance Lukáše Vlčka</w:t>
      </w:r>
    </w:p>
    <w:p w:rsidR="00000000" w:rsidDel="00000000" w:rsidP="00000000" w:rsidRDefault="00000000" w:rsidRPr="00000000" w14:paraId="0000000A">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120" w:before="120" w:line="276" w:lineRule="auto"/>
        <w:jc w:val="center"/>
        <w:rPr>
          <w:b w:val="1"/>
          <w:bCs w:val="1"/>
          <w:sz w:val="22"/>
          <w:szCs w:val="22"/>
        </w:rPr>
      </w:pPr>
      <w:r w:rsidDel="00000000" w:rsidR="00000000" w:rsidRPr="00000000">
        <w:rPr>
          <w:b w:val="1"/>
          <w:bCs w:val="1"/>
          <w:sz w:val="22"/>
          <w:szCs w:val="22"/>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ve znění komplexního pozměňovacího návrhu a dalších schválených pozměňovacích návrhů, schválených na 8. schůzi Hospodářského výboru dne 30. dubna 2026,</w:t>
      </w:r>
    </w:p>
    <w:p w:rsidR="00000000" w:rsidDel="00000000" w:rsidP="00000000" w:rsidRDefault="00000000" w:rsidRPr="00000000" w14:paraId="0000000C">
      <w:pPr>
        <w:spacing w:after="120" w:before="120" w:line="276" w:lineRule="auto"/>
        <w:jc w:val="center"/>
        <w:rPr>
          <w:rFonts w:ascii="Arial" w:cs="Arial" w:eastAsia="Arial" w:hAnsi="Arial"/>
          <w:color w:val="00000a"/>
          <w:sz w:val="22"/>
          <w:szCs w:val="22"/>
        </w:rPr>
      </w:pPr>
      <w:r w:rsidDel="00000000" w:rsidR="00000000" w:rsidRPr="00000000">
        <w:rPr>
          <w:b w:val="1"/>
          <w:bCs w:val="1"/>
          <w:sz w:val="22"/>
          <w:szCs w:val="22"/>
          <w:rtl w:val="0"/>
        </w:rPr>
        <w:t xml:space="preserve">/sněmovní tisk 67/11/</w:t>
      </w: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 ČÁSTI PRVNÍ, čl. I se novelizační bod číslo 538 zrušuje bez náhrady.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Odůvodnění</w:t>
      </w:r>
    </w:p>
    <w:p w:rsidR="00000000" w:rsidDel="00000000" w:rsidP="00000000" w:rsidRDefault="00000000" w:rsidRPr="00000000" w14:paraId="00000012">
      <w:pPr>
        <w:spacing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Tento návrh připouští výjimku z nařízení odstranění nepovolené stavby. Takovouto stavbu lze stavebním úřadem dodatečně povolit, pouze pokud povinný prokáže splnění podmínek podle § 256 odst. 1 NSZ, mj. i to, že stavba je stavba v souladu technickými požadavky na stavby a nevyžaduje povolení výjimky. Zde je však připuštěno, aby i v případě rozporu s těmito požadavky byla „černá“ stavba, pokud by její odstranění by pro povinného představovalo zásah nepřiměřený přínosům (aniž by se vědělo koho či čeho) s obecnou proklamací o nedotčení veřejného zájmu a práv třetích osob. Jak by se mělo uvedené posuzovat? Ve výsledku to může de facto znamenat, že pokud bude odstranění této stavby pro povinného ekonomicky nepřiměřené, stavba se odstraňovat nemusí. Opravdu chceme jít cestou podpory „černostavebníků“ oproti těm, kteří řádně žádají o povolení záměru a stavbu provedou až po právní moci povolení, jak stavební zákon předvídá? Takovýto návrh je zcela nepřijatelný, neboť by deklaroval, že dodržování stavební kázně je vlastně jen prázdnou frází.  Uvedené ustanovení navrhujeme pro jeho kontroverznost zcela vypustit.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spacing w:after="120" w:before="120" w:line="240" w:lineRule="auto"/>
        <w:rPr>
          <w:highlight w:val="red"/>
        </w:rPr>
      </w:pPr>
      <w:r w:rsidDel="00000000" w:rsidR="00000000" w:rsidRPr="00000000">
        <w:rPr>
          <w:rtl w:val="0"/>
        </w:rPr>
        <w:t xml:space="preserve">V souladu s § 12 odst. 5 zákona č. 168/2025 Sb., o regulaci lobbování, obsahuje odůvodnění tohoto pozměňovacího návrhu informaci podle § 20 odst. 1 písm. j) zákona č. 222/2016 Sb., o Sbírce zákonů a mezinárodních smluv, tj. identifikaci lobbisty, který při přípravě, projednávání nebo schvalování návrhu právního předpisu lobboval. Lobbistou ve smyslu výše uvedeného zákona byla Česká komora autorizovaných inženýrů a techniků činných ve výstavbě, samosprávná stavovská organizace, IČO: 45770743, se sídlem Sokolská 1498/15, Nové Město, 12000 Praha 2, evidenční číslo RL3603249518.</w:t>
      </w: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jc w:val="left"/>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40" w:lineRule="auto"/>
      <w:jc w:val="left"/>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40" w:lineRule="auto"/>
      <w:jc w:val="left"/>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40" w:lineRule="auto"/>
      <w:jc w:val="left"/>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40" w:lineRule="auto"/>
      <w:jc w:val="left"/>
    </w:pPr>
    <w:rPr>
      <w:rFonts w:ascii="Calibri" w:cs="Calibri" w:eastAsia="Calibri" w:hAnsi="Calibri"/>
      <w:color w:val="2f5496"/>
    </w:rPr>
  </w:style>
  <w:style w:type="paragraph" w:styleId="Heading6">
    <w:name w:val="heading 6"/>
    <w:basedOn w:val="Normal"/>
    <w:next w:val="Normal"/>
    <w:pPr>
      <w:keepNext w:val="1"/>
      <w:keepLines w:val="1"/>
      <w:spacing w:after="0" w:before="40" w:line="240" w:lineRule="auto"/>
      <w:jc w:val="left"/>
    </w:pPr>
    <w:rPr>
      <w:rFonts w:ascii="Calibri" w:cs="Calibri" w:eastAsia="Calibri" w:hAnsi="Calibri"/>
      <w:i w:val="1"/>
      <w:iCs w:val="1"/>
      <w:color w:val="595959"/>
    </w:rPr>
  </w:style>
  <w:style w:type="paragraph" w:styleId="Title">
    <w:name w:val="Title"/>
    <w:basedOn w:val="Normal"/>
    <w:next w:val="Normal"/>
    <w:pPr>
      <w:spacing w:after="80" w:line="240" w:lineRule="auto"/>
      <w:jc w:val="left"/>
    </w:pPr>
    <w:rPr>
      <w:rFonts w:ascii="Calibri" w:cs="Calibri" w:eastAsia="Calibri" w:hAnsi="Calibri"/>
      <w:sz w:val="56"/>
      <w:szCs w:val="56"/>
    </w:rPr>
  </w:style>
  <w:style w:type="paragraph" w:styleId="Subtitle">
    <w:name w:val="Subtitle"/>
    <w:basedOn w:val="Normal"/>
    <w:next w:val="Normal"/>
    <w:pPr>
      <w:spacing w:line="240" w:lineRule="auto"/>
      <w:jc w:val="left"/>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EkFUg2ewerIAOyEx4d9Ac9FrA==">CgMxLjA4AHIhMTBSLWdpLWstVUlxZmJmTG04eTdZdElmM1pReDBzNG9O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