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before="200" w:line="276" w:lineRule="auto"/>
        <w:jc w:val="center"/>
        <w:rPr>
          <w:b w:val="1"/>
          <w:bCs w:val="1"/>
          <w:sz w:val="36"/>
          <w:szCs w:val="36"/>
        </w:rPr>
      </w:pPr>
      <w:bookmarkStart w:colFirst="0" w:colLast="0" w:name="_gjdgxs" w:id="0"/>
      <w:bookmarkEnd w:id="0"/>
      <w:r w:rsidDel="00000000" w:rsidR="00000000" w:rsidRPr="00000000">
        <w:rPr>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before="200" w:line="276" w:lineRule="auto"/>
        <w:rPr>
          <w:b w:val="1"/>
          <w:bCs w:val="1"/>
          <w:sz w:val="36"/>
          <w:szCs w:val="36"/>
        </w:rPr>
      </w:pPr>
      <w:r w:rsidDel="00000000" w:rsidR="00000000" w:rsidRPr="00000000">
        <w:rPr>
          <w:b w:val="1"/>
          <w:bCs w:val="1"/>
          <w:sz w:val="36"/>
          <w:szCs w:val="36"/>
          <w:rtl w:val="0"/>
        </w:rPr>
        <w:tab/>
        <w:t xml:space="preserve">Poslanecká sněmovna</w:t>
        <w:tab/>
      </w:r>
    </w:p>
    <w:p w:rsidR="00000000" w:rsidDel="00000000" w:rsidP="00000000" w:rsidRDefault="00000000" w:rsidRPr="00000000" w14:paraId="00000003">
      <w:pPr>
        <w:widowControl w:val="0"/>
        <w:spacing w:before="200" w:line="276" w:lineRule="auto"/>
        <w:jc w:val="center"/>
        <w:rPr>
          <w:b w:val="1"/>
          <w:bCs w:val="1"/>
          <w:sz w:val="36"/>
          <w:szCs w:val="36"/>
        </w:rPr>
      </w:pPr>
      <w:r w:rsidDel="00000000" w:rsidR="00000000" w:rsidRPr="00000000">
        <w:rPr>
          <w:b w:val="1"/>
          <w:bCs w:val="1"/>
          <w:sz w:val="36"/>
          <w:szCs w:val="36"/>
          <w:rtl w:val="0"/>
        </w:rPr>
        <w:t xml:space="preserve">2026</w:t>
      </w:r>
    </w:p>
    <w:p w:rsidR="00000000" w:rsidDel="00000000" w:rsidP="00000000" w:rsidRDefault="00000000" w:rsidRPr="00000000" w14:paraId="00000004">
      <w:pPr>
        <w:widowControl w:val="0"/>
        <w:spacing w:before="200" w:line="276" w:lineRule="auto"/>
        <w:jc w:val="center"/>
        <w:rPr>
          <w:b w:val="1"/>
          <w:bCs w:val="1"/>
          <w:sz w:val="36"/>
          <w:szCs w:val="36"/>
        </w:rPr>
      </w:pPr>
      <w:r w:rsidDel="00000000" w:rsidR="00000000" w:rsidRPr="00000000">
        <w:rPr>
          <w:b w:val="1"/>
          <w:bCs w:val="1"/>
          <w:sz w:val="36"/>
          <w:szCs w:val="36"/>
          <w:rtl w:val="0"/>
        </w:rPr>
        <w:t xml:space="preserve">X. volební období</w:t>
      </w:r>
    </w:p>
    <w:p w:rsidR="00000000" w:rsidDel="00000000" w:rsidP="00000000" w:rsidRDefault="00000000" w:rsidRPr="00000000" w14:paraId="00000005">
      <w:pPr>
        <w:widowControl w:val="0"/>
        <w:spacing w:before="200" w:line="276" w:lineRule="auto"/>
        <w:jc w:val="center"/>
        <w:rPr>
          <w:b w:val="1"/>
          <w:bCs w:val="1"/>
          <w:sz w:val="28"/>
          <w:szCs w:val="28"/>
        </w:rPr>
      </w:pPr>
      <w:r w:rsidDel="00000000" w:rsidR="00000000" w:rsidRPr="00000000">
        <w:rPr>
          <w:b w:val="1"/>
          <w:bCs w:val="1"/>
          <w:sz w:val="28"/>
          <w:szCs w:val="28"/>
          <w:rtl w:val="0"/>
        </w:rPr>
        <w:t xml:space="preserve">___________________________________________________________</w:t>
      </w:r>
    </w:p>
    <w:p w:rsidR="00000000" w:rsidDel="00000000" w:rsidP="00000000" w:rsidRDefault="00000000" w:rsidRPr="00000000" w14:paraId="00000006">
      <w:pPr>
        <w:widowControl w:val="0"/>
        <w:spacing w:before="200" w:line="276" w:lineRule="auto"/>
        <w:rPr>
          <w:b w:val="1"/>
          <w:bCs w:val="1"/>
          <w:sz w:val="28"/>
          <w:szCs w:val="28"/>
        </w:rPr>
      </w:pPr>
      <w:r w:rsidDel="00000000" w:rsidR="00000000" w:rsidRPr="00000000">
        <w:rPr>
          <w:rtl w:val="0"/>
        </w:rPr>
      </w:r>
    </w:p>
    <w:p w:rsidR="00000000" w:rsidDel="00000000" w:rsidP="00000000" w:rsidRDefault="00000000" w:rsidRPr="00000000" w14:paraId="00000007">
      <w:pPr>
        <w:widowControl w:val="0"/>
        <w:spacing w:before="200" w:line="276" w:lineRule="auto"/>
        <w:jc w:val="center"/>
        <w:rPr>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before="200" w:line="276" w:lineRule="auto"/>
        <w:jc w:val="center"/>
        <w:rPr>
          <w:b w:val="1"/>
          <w:bCs w:val="1"/>
          <w:sz w:val="32"/>
          <w:szCs w:val="32"/>
        </w:rPr>
      </w:pPr>
      <w:r w:rsidDel="00000000" w:rsidR="00000000" w:rsidRPr="00000000">
        <w:rPr>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before="200" w:line="276" w:lineRule="auto"/>
        <w:jc w:val="center"/>
        <w:rPr>
          <w:sz w:val="32"/>
          <w:szCs w:val="32"/>
        </w:rPr>
      </w:pPr>
      <w:r w:rsidDel="00000000" w:rsidR="00000000" w:rsidRPr="00000000">
        <w:rPr>
          <w:sz w:val="32"/>
          <w:szCs w:val="32"/>
          <w:rtl w:val="0"/>
        </w:rPr>
        <w:t xml:space="preserve">p</w:t>
      </w:r>
      <w:r w:rsidDel="00000000" w:rsidR="00000000" w:rsidRPr="00000000">
        <w:rPr>
          <w:sz w:val="32"/>
          <w:szCs w:val="32"/>
          <w:rtl w:val="0"/>
        </w:rPr>
        <w:t xml:space="preserve">oslanců a poslankyň</w:t>
      </w:r>
    </w:p>
    <w:p w:rsidR="00000000" w:rsidDel="00000000" w:rsidP="00000000" w:rsidRDefault="00000000" w:rsidRPr="00000000" w14:paraId="0000000A">
      <w:pPr>
        <w:keepNext w:val="1"/>
        <w:keepLines w:val="1"/>
        <w:widowControl w:val="0"/>
        <w:spacing w:before="200" w:line="276" w:lineRule="auto"/>
        <w:jc w:val="center"/>
        <w:rPr>
          <w:sz w:val="32"/>
          <w:szCs w:val="32"/>
        </w:rPr>
      </w:pPr>
      <w:r w:rsidDel="00000000" w:rsidR="00000000" w:rsidRPr="00000000">
        <w:rPr>
          <w:sz w:val="32"/>
          <w:szCs w:val="32"/>
          <w:rtl w:val="0"/>
        </w:rPr>
        <w:t xml:space="preserve">Zdeňka Hřiba, Patrika Nachera, Borise Šťastného, Marka Bendy, Jany Černochové, Toma Philippa, Michala Zuny, Josefa Nerušila a Julie Smejkalové</w:t>
      </w:r>
    </w:p>
    <w:p w:rsidR="00000000" w:rsidDel="00000000" w:rsidP="00000000" w:rsidRDefault="00000000" w:rsidRPr="00000000" w14:paraId="0000000B">
      <w:pPr>
        <w:widowControl w:val="0"/>
        <w:spacing w:before="200" w:line="276" w:lineRule="auto"/>
        <w:jc w:val="left"/>
        <w:rPr>
          <w:sz w:val="28"/>
          <w:szCs w:val="28"/>
        </w:rPr>
      </w:pPr>
      <w:r w:rsidDel="00000000" w:rsidR="00000000" w:rsidRPr="00000000">
        <w:rPr>
          <w:rtl w:val="0"/>
        </w:rPr>
      </w:r>
    </w:p>
    <w:p w:rsidR="00000000" w:rsidDel="00000000" w:rsidP="00000000" w:rsidRDefault="00000000" w:rsidRPr="00000000" w14:paraId="0000000C">
      <w:pPr>
        <w:spacing w:before="200" w:line="276" w:lineRule="auto"/>
        <w:jc w:val="center"/>
        <w:rPr>
          <w:b w:val="1"/>
          <w:bCs w:val="1"/>
        </w:rPr>
      </w:pPr>
      <w:r w:rsidDel="00000000" w:rsidR="00000000" w:rsidRPr="00000000">
        <w:rPr>
          <w:b w:val="1"/>
          <w:bCs w:val="1"/>
          <w:rtl w:val="0"/>
        </w:rPr>
        <w:t xml:space="preserve">ke komplexnímu pozměňovacímu návrhu uvedenému v usnesení hospodářského výboru č. 55 ze dne 30. dubna 2026 k</w:t>
      </w:r>
    </w:p>
    <w:p w:rsidR="00000000" w:rsidDel="00000000" w:rsidP="00000000" w:rsidRDefault="00000000" w:rsidRPr="00000000" w14:paraId="0000000D">
      <w:pPr>
        <w:spacing w:before="200" w:line="276" w:lineRule="auto"/>
        <w:jc w:val="center"/>
        <w:rPr/>
      </w:pPr>
      <w:r w:rsidDel="00000000" w:rsidR="00000000" w:rsidRPr="00000000">
        <w:rPr>
          <w:rtl w:val="0"/>
        </w:rPr>
      </w:r>
    </w:p>
    <w:p w:rsidR="00000000" w:rsidDel="00000000" w:rsidP="00000000" w:rsidRDefault="00000000" w:rsidRPr="00000000" w14:paraId="0000000E">
      <w:pPr>
        <w:spacing w:before="200" w:line="276" w:lineRule="auto"/>
        <w:jc w:val="center"/>
        <w:rPr/>
      </w:pPr>
      <w:r w:rsidDel="00000000" w:rsidR="00000000" w:rsidRPr="00000000">
        <w:rPr>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F">
      <w:pPr>
        <w:spacing w:before="200" w:line="276" w:lineRule="auto"/>
        <w:jc w:val="both"/>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10">
      <w:pPr>
        <w:spacing w:before="200" w:line="276" w:lineRule="auto"/>
        <w:jc w:val="center"/>
        <w:rPr>
          <w:b w:val="1"/>
          <w:bCs w:val="1"/>
          <w:sz w:val="40"/>
          <w:szCs w:val="40"/>
        </w:rPr>
      </w:pPr>
      <w:r w:rsidDel="00000000" w:rsidR="00000000" w:rsidRPr="00000000">
        <w:rPr>
          <w:b w:val="1"/>
          <w:bCs w:val="1"/>
          <w:sz w:val="40"/>
          <w:szCs w:val="40"/>
          <w:rtl w:val="0"/>
        </w:rPr>
        <w:t xml:space="preserve">ST 67/11</w:t>
      </w:r>
    </w:p>
    <w:p w:rsidR="00000000" w:rsidDel="00000000" w:rsidP="00000000" w:rsidRDefault="00000000" w:rsidRPr="00000000" w14:paraId="00000011">
      <w:pPr>
        <w:widowControl w:val="0"/>
        <w:spacing w:before="200" w:line="276" w:lineRule="auto"/>
        <w:rPr>
          <w:b w:val="1"/>
          <w:bCs w:val="1"/>
        </w:rPr>
      </w:pPr>
      <w:r w:rsidDel="00000000" w:rsidR="00000000" w:rsidRPr="00000000">
        <w:rPr>
          <w:rtl w:val="0"/>
        </w:rPr>
      </w:r>
    </w:p>
    <w:p w:rsidR="00000000" w:rsidDel="00000000" w:rsidP="00000000" w:rsidRDefault="00000000" w:rsidRPr="00000000" w14:paraId="00000012">
      <w:pPr>
        <w:widowControl w:val="0"/>
        <w:spacing w:before="200" w:line="276" w:lineRule="auto"/>
        <w:rPr>
          <w:b w:val="1"/>
          <w:bCs w:val="1"/>
        </w:rPr>
      </w:pPr>
      <w:r w:rsidDel="00000000" w:rsidR="00000000" w:rsidRPr="00000000">
        <w:rPr>
          <w:rtl w:val="0"/>
        </w:rPr>
      </w:r>
    </w:p>
    <w:p w:rsidR="00000000" w:rsidDel="00000000" w:rsidP="00000000" w:rsidRDefault="00000000" w:rsidRPr="00000000" w14:paraId="00000013">
      <w:pPr>
        <w:widowControl w:val="0"/>
        <w:spacing w:before="200" w:line="276" w:lineRule="auto"/>
        <w:jc w:val="both"/>
        <w:rPr/>
      </w:pPr>
      <w:r w:rsidDel="00000000" w:rsidR="00000000" w:rsidRPr="00000000">
        <w:rPr>
          <w:b w:val="1"/>
          <w:bCs w:val="1"/>
          <w:rtl w:val="0"/>
        </w:rPr>
        <w:t xml:space="preserve">Datum: </w:t>
      </w:r>
      <w:r w:rsidDel="00000000" w:rsidR="00000000" w:rsidRPr="00000000">
        <w:rPr>
          <w:rtl w:val="0"/>
        </w:rPr>
        <w:t xml:space="preserve">27. 5. 2026</w:t>
      </w:r>
      <w:r w:rsidDel="00000000" w:rsidR="00000000" w:rsidRPr="00000000">
        <w:rPr>
          <w:rtl w:val="0"/>
        </w:rPr>
      </w:r>
    </w:p>
    <w:p w:rsidR="00000000" w:rsidDel="00000000" w:rsidP="00000000" w:rsidRDefault="00000000" w:rsidRPr="00000000" w14:paraId="00000014">
      <w:pPr>
        <w:spacing w:after="240" w:before="0" w:lineRule="auto"/>
        <w:jc w:val="both"/>
        <w:rPr/>
      </w:pPr>
      <w:r w:rsidDel="00000000" w:rsidR="00000000" w:rsidRPr="00000000">
        <w:rPr>
          <w:rtl w:val="0"/>
        </w:rPr>
        <w:t xml:space="preserve">Za část čtyřicátou osmou k</w:t>
      </w:r>
      <w:r w:rsidDel="00000000" w:rsidR="00000000" w:rsidRPr="00000000">
        <w:rPr>
          <w:rFonts w:ascii="Times New Roman" w:cs="Times New Roman" w:eastAsia="Times New Roman" w:hAnsi="Times New Roman"/>
          <w:b w:val="0"/>
          <w:bCs w:val="0"/>
          <w:sz w:val="24"/>
          <w:szCs w:val="24"/>
          <w:rtl w:val="0"/>
        </w:rPr>
        <w:t xml:space="preserve">omplexního pozměňovacího návrhu uveden</w:t>
      </w:r>
      <w:r w:rsidDel="00000000" w:rsidR="00000000" w:rsidRPr="00000000">
        <w:rPr>
          <w:rtl w:val="0"/>
        </w:rPr>
        <w:t xml:space="preserve">ého</w:t>
      </w:r>
      <w:r w:rsidDel="00000000" w:rsidR="00000000" w:rsidRPr="00000000">
        <w:rPr>
          <w:rFonts w:ascii="Times New Roman" w:cs="Times New Roman" w:eastAsia="Times New Roman" w:hAnsi="Times New Roman"/>
          <w:b w:val="0"/>
          <w:bCs w:val="0"/>
          <w:sz w:val="24"/>
          <w:szCs w:val="24"/>
          <w:rtl w:val="0"/>
        </w:rPr>
        <w:t xml:space="preserve">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w:t>
      </w:r>
      <w:r w:rsidDel="00000000" w:rsidR="00000000" w:rsidRPr="00000000">
        <w:rPr>
          <w:rtl w:val="0"/>
        </w:rPr>
        <w:t xml:space="preserve">vkládá nová část čtyřicátá devátá</w:t>
      </w:r>
      <w:r w:rsidDel="00000000" w:rsidR="00000000" w:rsidRPr="00000000">
        <w:rPr>
          <w:rFonts w:ascii="Times New Roman" w:cs="Times New Roman" w:eastAsia="Times New Roman" w:hAnsi="Times New Roman"/>
          <w:b w:val="0"/>
          <w:bCs w:val="0"/>
          <w:sz w:val="24"/>
          <w:szCs w:val="24"/>
          <w:rtl w:val="0"/>
        </w:rPr>
        <w:t xml:space="preserve">, která včetně nadpisu zní:</w:t>
      </w:r>
      <w:r w:rsidDel="00000000" w:rsidR="00000000" w:rsidRPr="00000000">
        <w:rPr>
          <w:rtl w:val="0"/>
        </w:rPr>
      </w:r>
    </w:p>
    <w:p w:rsidR="00000000" w:rsidDel="00000000" w:rsidP="00000000" w:rsidRDefault="00000000" w:rsidRPr="00000000" w14:paraId="00000015">
      <w:pPr>
        <w:spacing w:after="120" w:before="20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„ČÁST </w:t>
      </w:r>
      <w:r w:rsidDel="00000000" w:rsidR="00000000" w:rsidRPr="00000000">
        <w:rPr>
          <w:rtl w:val="0"/>
        </w:rPr>
        <w:t xml:space="preserve">ČTYŘICÁTÁ DEVÁTÁ </w:t>
      </w:r>
      <w:r w:rsidDel="00000000" w:rsidR="00000000" w:rsidRPr="00000000">
        <w:rPr>
          <w:rtl w:val="0"/>
        </w:rPr>
      </w:r>
    </w:p>
    <w:p w:rsidR="00000000" w:rsidDel="00000000" w:rsidP="00000000" w:rsidRDefault="00000000" w:rsidRPr="00000000" w14:paraId="00000016">
      <w:pPr>
        <w:spacing w:after="120" w:before="200" w:lineRule="auto"/>
        <w:jc w:val="center"/>
        <w:rPr>
          <w:b w:val="1"/>
          <w:bCs w:val="1"/>
        </w:rPr>
      </w:pPr>
      <w:r w:rsidDel="00000000" w:rsidR="00000000" w:rsidRPr="00000000">
        <w:rPr>
          <w:b w:val="1"/>
          <w:bCs w:val="1"/>
          <w:sz w:val="24"/>
          <w:szCs w:val="24"/>
          <w:rtl w:val="0"/>
        </w:rPr>
        <w:t xml:space="preserve">Změna zákona č. 465/2023 Sb., kterým se mění zákon č. 416/2009 Sb., o urychlení výstavby dopravní, vodní a energetické infrastruktury a infrastruktury elektronických komunikací (liniový zákon), ve znění pozdějších předpisů, a další související zákony</w:t>
      </w:r>
      <w:r w:rsidDel="00000000" w:rsidR="00000000" w:rsidRPr="00000000">
        <w:rPr>
          <w:rtl w:val="0"/>
        </w:rPr>
      </w:r>
    </w:p>
    <w:p w:rsidR="00000000" w:rsidDel="00000000" w:rsidP="00000000" w:rsidRDefault="00000000" w:rsidRPr="00000000" w14:paraId="00000017">
      <w:pPr>
        <w:spacing w:after="120" w:before="200" w:lineRule="auto"/>
        <w:jc w:val="center"/>
        <w:rPr/>
      </w:pPr>
      <w:r w:rsidDel="00000000" w:rsidR="00000000" w:rsidRPr="00000000">
        <w:rPr>
          <w:sz w:val="24"/>
          <w:szCs w:val="24"/>
          <w:rtl w:val="0"/>
        </w:rPr>
        <w:t xml:space="preserve">Čl. </w:t>
      </w:r>
      <w:r w:rsidDel="00000000" w:rsidR="00000000" w:rsidRPr="00000000">
        <w:rPr>
          <w:rtl w:val="0"/>
        </w:rPr>
        <w:t xml:space="preserve">LXXI</w:t>
      </w:r>
    </w:p>
    <w:p w:rsidR="00000000" w:rsidDel="00000000" w:rsidP="00000000" w:rsidRDefault="00000000" w:rsidRPr="00000000" w14:paraId="00000018">
      <w:pPr>
        <w:spacing w:after="120" w:before="0" w:lineRule="auto"/>
        <w:jc w:val="both"/>
        <w:rPr/>
      </w:pPr>
      <w:r w:rsidDel="00000000" w:rsidR="00000000" w:rsidRPr="00000000">
        <w:rPr>
          <w:rtl w:val="0"/>
        </w:rPr>
        <w:t xml:space="preserve">Z</w:t>
      </w:r>
      <w:r w:rsidDel="00000000" w:rsidR="00000000" w:rsidRPr="00000000">
        <w:rPr>
          <w:rFonts w:ascii="Times New Roman" w:cs="Times New Roman" w:eastAsia="Times New Roman" w:hAnsi="Times New Roman"/>
          <w:b w:val="0"/>
          <w:bCs w:val="0"/>
          <w:sz w:val="24"/>
          <w:szCs w:val="24"/>
          <w:rtl w:val="0"/>
        </w:rPr>
        <w:t xml:space="preserve">ákon č. 465/2023 Sb., kterým se mění zákon č. 416/2009 Sb., o urychlení výstavby dopravní, vodní a energetické infrastruktury a infrastruktury elektronických komunikací (liniový zákon), ve znění pozdějších předpisů, a další související zákony, ve znění zákona č. 182/2024 Sb., se</w:t>
      </w:r>
      <w:r w:rsidDel="00000000" w:rsidR="00000000" w:rsidRPr="00000000">
        <w:rPr>
          <w:rtl w:val="0"/>
        </w:rPr>
        <w:t xml:space="preserve"> mění takto:</w:t>
      </w:r>
    </w:p>
    <w:p w:rsidR="00000000" w:rsidDel="00000000" w:rsidP="00000000" w:rsidRDefault="00000000" w:rsidRPr="00000000" w14:paraId="00000019">
      <w:pPr>
        <w:numPr>
          <w:ilvl w:val="0"/>
          <w:numId w:val="1"/>
        </w:numPr>
        <w:spacing w:after="200" w:before="200" w:lineRule="auto"/>
        <w:ind w:left="720" w:hanging="360"/>
        <w:jc w:val="both"/>
        <w:rPr>
          <w:u w:val="none"/>
        </w:rPr>
      </w:pPr>
      <w:r w:rsidDel="00000000" w:rsidR="00000000" w:rsidRPr="00000000">
        <w:rPr>
          <w:rtl w:val="0"/>
        </w:rPr>
        <w:t xml:space="preserve">V Čl. VIII </w:t>
      </w:r>
      <w:r w:rsidDel="00000000" w:rsidR="00000000" w:rsidRPr="00000000">
        <w:rPr>
          <w:rFonts w:ascii="Times New Roman" w:cs="Times New Roman" w:eastAsia="Times New Roman" w:hAnsi="Times New Roman"/>
          <w:b w:val="0"/>
          <w:bCs w:val="0"/>
          <w:sz w:val="24"/>
          <w:szCs w:val="24"/>
          <w:rtl w:val="0"/>
        </w:rPr>
        <w:t xml:space="preserve">bod</w:t>
      </w:r>
      <w:r w:rsidDel="00000000" w:rsidR="00000000" w:rsidRPr="00000000">
        <w:rPr>
          <w:rtl w:val="0"/>
        </w:rPr>
        <w:t xml:space="preserve">ě</w:t>
      </w:r>
      <w:r w:rsidDel="00000000" w:rsidR="00000000" w:rsidRPr="00000000">
        <w:rPr>
          <w:rFonts w:ascii="Times New Roman" w:cs="Times New Roman" w:eastAsia="Times New Roman" w:hAnsi="Times New Roman"/>
          <w:b w:val="0"/>
          <w:bCs w:val="0"/>
          <w:sz w:val="24"/>
          <w:szCs w:val="24"/>
          <w:rtl w:val="0"/>
        </w:rPr>
        <w:t xml:space="preserve"> 1 se za slova „regionální dráhy“ vkládají slova „, speciální dráhy“.</w:t>
      </w:r>
      <w:r w:rsidDel="00000000" w:rsidR="00000000" w:rsidRPr="00000000">
        <w:rPr>
          <w:rtl w:val="0"/>
        </w:rPr>
      </w:r>
    </w:p>
    <w:p w:rsidR="00000000" w:rsidDel="00000000" w:rsidP="00000000" w:rsidRDefault="00000000" w:rsidRPr="00000000" w14:paraId="0000001A">
      <w:pPr>
        <w:numPr>
          <w:ilvl w:val="0"/>
          <w:numId w:val="1"/>
        </w:numPr>
        <w:spacing w:after="200" w:before="200" w:lineRule="auto"/>
        <w:ind w:left="720" w:hanging="360"/>
        <w:jc w:val="both"/>
        <w:rPr>
          <w:u w:val="none"/>
        </w:rPr>
      </w:pPr>
      <w:r w:rsidDel="00000000" w:rsidR="00000000" w:rsidRPr="00000000">
        <w:rPr>
          <w:rFonts w:ascii="Times New Roman" w:cs="Times New Roman" w:eastAsia="Times New Roman" w:hAnsi="Times New Roman"/>
          <w:rtl w:val="0"/>
        </w:rPr>
        <w:t xml:space="preserve">V </w:t>
      </w:r>
      <w:r w:rsidDel="00000000" w:rsidR="00000000" w:rsidRPr="00000000">
        <w:rPr>
          <w:rtl w:val="0"/>
        </w:rPr>
        <w:t xml:space="preserve">Čl</w:t>
      </w:r>
      <w:r w:rsidDel="00000000" w:rsidR="00000000" w:rsidRPr="00000000">
        <w:rPr>
          <w:rFonts w:ascii="Times New Roman" w:cs="Times New Roman" w:eastAsia="Times New Roman" w:hAnsi="Times New Roman"/>
          <w:rtl w:val="0"/>
        </w:rPr>
        <w:t xml:space="preserve">. VIII se za bod 2 vkládá nový bod 3, který zní</w:t>
      </w:r>
      <w:r w:rsidDel="00000000" w:rsidR="00000000" w:rsidRPr="00000000">
        <w:rPr>
          <w:rtl w:val="0"/>
        </w:rPr>
        <w:t xml:space="preserve">:</w:t>
      </w:r>
    </w:p>
    <w:p w:rsidR="00000000" w:rsidDel="00000000" w:rsidP="00000000" w:rsidRDefault="00000000" w:rsidRPr="00000000" w14:paraId="0000001B">
      <w:pPr>
        <w:spacing w:after="200" w:before="200" w:lineRule="auto"/>
        <w:ind w:left="720" w:firstLine="0"/>
        <w:jc w:val="both"/>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 Stanovisko k posouzení vlivů provedení záměru na životní prostředí podle § 10 zákona č. 100/2001 Sb., ve znění účinném do 31. března 2015, nebo závazné stanovisko k posouzení vlivů provedení záměru na životní prostředí podle § 9a zákona č. 100/2001 Sb., ve znění účinném od 1. dubna 2015 do dne nabytí účinnosti tohoto zákona, vydané pro záměr speciální dráhy, ktere je podle bodu 2 platné do 31. prosince 2026, se považuje pro účely prodloužení jeho platnosti podle bodu 1 za stanovisko nebo závazné stanovisko, jehož platnost trvá do 31. prosince 2026. Žádost o prodloužení platnosti stanoviska nebo závazného stanoviska podle věty první lze podat nejpozději dne 31. prosince 2026.“.</w:t>
      </w:r>
    </w:p>
    <w:p w:rsidR="00000000" w:rsidDel="00000000" w:rsidP="00000000" w:rsidRDefault="00000000" w:rsidRPr="00000000" w14:paraId="0000001C">
      <w:pPr>
        <w:spacing w:after="120" w:before="0" w:lineRule="auto"/>
        <w:ind w:firstLine="720"/>
        <w:rPr/>
      </w:pPr>
      <w:r w:rsidDel="00000000" w:rsidR="00000000" w:rsidRPr="00000000">
        <w:rPr>
          <w:rFonts w:ascii="Times New Roman" w:cs="Times New Roman" w:eastAsia="Times New Roman" w:hAnsi="Times New Roman"/>
          <w:b w:val="0"/>
          <w:bCs w:val="0"/>
          <w:sz w:val="24"/>
          <w:szCs w:val="24"/>
          <w:rtl w:val="0"/>
        </w:rPr>
        <w:t xml:space="preserve">Dosavadní bod 3 se označuje jako bod 4.“.</w:t>
      </w:r>
      <w:r w:rsidDel="00000000" w:rsidR="00000000" w:rsidRPr="00000000">
        <w:rPr>
          <w:rtl w:val="0"/>
        </w:rPr>
      </w:r>
    </w:p>
    <w:p w:rsidR="00000000" w:rsidDel="00000000" w:rsidP="00000000" w:rsidRDefault="00000000" w:rsidRPr="00000000" w14:paraId="0000001D">
      <w:pPr>
        <w:spacing w:after="120" w:before="0" w:lineRule="auto"/>
        <w:rPr/>
      </w:pPr>
      <w:r w:rsidDel="00000000" w:rsidR="00000000" w:rsidRPr="00000000">
        <w:rPr>
          <w:rFonts w:ascii="Times New Roman" w:cs="Times New Roman" w:eastAsia="Times New Roman" w:hAnsi="Times New Roman"/>
          <w:b w:val="0"/>
          <w:bCs w:val="0"/>
          <w:sz w:val="24"/>
          <w:szCs w:val="24"/>
          <w:rtl w:val="0"/>
        </w:rPr>
        <w:t xml:space="preserve">Dosavadní části a dosavadní články </w:t>
      </w:r>
      <w:r w:rsidDel="00000000" w:rsidR="00000000" w:rsidRPr="00000000">
        <w:rPr>
          <w:rtl w:val="0"/>
        </w:rPr>
        <w:t xml:space="preserve">se přečíslují.</w:t>
      </w:r>
    </w:p>
    <w:p w:rsidR="00000000" w:rsidDel="00000000" w:rsidP="00000000" w:rsidRDefault="00000000" w:rsidRPr="00000000" w14:paraId="0000001E">
      <w:pPr>
        <w:spacing w:after="120" w:before="0" w:lineRule="auto"/>
        <w:rPr/>
      </w:pPr>
      <w:r w:rsidDel="00000000" w:rsidR="00000000" w:rsidRPr="00000000">
        <w:rPr>
          <w:rtl w:val="0"/>
        </w:rPr>
      </w:r>
    </w:p>
    <w:p w:rsidR="00000000" w:rsidDel="00000000" w:rsidP="00000000" w:rsidRDefault="00000000" w:rsidRPr="00000000" w14:paraId="0000001F">
      <w:pPr>
        <w:spacing w:after="120" w:before="12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O d ů v o d n ě n í</w:t>
      </w:r>
      <w:r w:rsidDel="00000000" w:rsidR="00000000" w:rsidRPr="00000000">
        <w:rPr>
          <w:rtl w:val="0"/>
        </w:rPr>
      </w:r>
    </w:p>
    <w:p w:rsidR="00000000" w:rsidDel="00000000" w:rsidP="00000000" w:rsidRDefault="00000000" w:rsidRPr="00000000" w14:paraId="00000021">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Pozměňovací návrh doplňuje do komplexního pozměňovacího návrhu novou část, kterou se mění zákon č. 465/2023 Sb. V návaznosti na stávající přechodná ustanovení tohoto zákona se do čl. VIII bodu 1 doplňuje mezi záměry, u nichž lze opakovaně prodloužit platnost stanoviska EIA nebo závazného stanoviska EIA, také záměr speciální dráhy. Současně se doplňuje výslovné pravidlo, podle něhož se u speciálních drah, jejichž stanovisko je podle čl. VIII bodu 2 považováno za platné do 31. prosince 2026, vychází při prvním dalším prodloužení právě z této zákonem stanovené doby platnosti.</w:t>
      </w:r>
      <w:r w:rsidDel="00000000" w:rsidR="00000000" w:rsidRPr="00000000">
        <w:rPr>
          <w:rtl w:val="0"/>
        </w:rPr>
      </w:r>
    </w:p>
    <w:p w:rsidR="00000000" w:rsidDel="00000000" w:rsidP="00000000" w:rsidRDefault="00000000" w:rsidRPr="00000000" w14:paraId="00000022">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Účelem návrhu je odstranit nežádoucí interpretační nejistotu u dopravních staveb zvláštního veřejného významu, které spadají do kategorie speciální dráhy, typicky u staveb metra. Zákon č. 465/2023 Sb. v čl. VIII bodu 1 již dnes umožňuje opakované prodloužení platnosti stanoviska EIA u nového jaderného zdroje, dálnice, silnice I. třídy, celostátní dráhy, regionální dráhy a vzletové a přistávací dráhy letiště. Speciální dráha je dopravní infrastrukturou s obdobnou povahou dlouhodobé přípravy, vysokou investiční náročností, významným veřejným zájmem a složitou koordinací navazujících povolovacích a realizačních kroků. Je proto odůvodněné, aby byla ve vztahu k možnosti opakovaného prodloužení platnosti stanoviska EIA postavena naroveň celostátním a regionálním drahám.</w:t>
      </w:r>
      <w:r w:rsidDel="00000000" w:rsidR="00000000" w:rsidRPr="00000000">
        <w:rPr>
          <w:rtl w:val="0"/>
        </w:rPr>
      </w:r>
    </w:p>
    <w:p w:rsidR="00000000" w:rsidDel="00000000" w:rsidP="00000000" w:rsidRDefault="00000000" w:rsidRPr="00000000" w14:paraId="00000023">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Návrh zároveň řeší situaci, kdy bylo stanovisko EIA nebo závazné stanovisko EIA vydané pro speciální dráhu již před účinností zákona č. 465/2023 Sb. prodlouženo na dobu, která měla uplynout před 1. lednem 2027. Podle čl. VIII bodu 2 zákona č. 465/2023 Sb. se takové stanovisko považuje za platné do 31. prosince 2026. Toto pravidlo založilo adresátům veřejné správy legitimní očekávání, že po uvedenou dobu mohou s platností stanoviska počítat. Pokud se nyní speciální dráha doplňuje do režimu čl. VIII bodu 1, je nezbytné výslovně stanovit, že dosavadní zákonná fikce platnosti do 31. prosince 2026 není tímto přesunem dotčena a že právě od tohoto data se bude odvíjet další prodloužení.</w:t>
      </w:r>
      <w:r w:rsidDel="00000000" w:rsidR="00000000" w:rsidRPr="00000000">
        <w:rPr>
          <w:rtl w:val="0"/>
        </w:rPr>
      </w:r>
    </w:p>
    <w:p w:rsidR="00000000" w:rsidDel="00000000" w:rsidP="00000000" w:rsidRDefault="00000000" w:rsidRPr="00000000" w14:paraId="00000024">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Bez tohoto doplňujícího pravidla by mohlo vzniknout riziko výkladu, podle něhož se při žádosti o prodloužení platnosti stanoviska nebude přihlížet k období, po které bylo stanovisko považováno za platné podle čl. VIII bodu 2. To by mohlo vést k závěru, že platnost stanoviska fakticky uplynula již před zařazením speciální dráhy do čl. VIII bodu 1, ačkoli zákon po přechodnou dobu výslovně stanovil jeho platnost do 31. prosince 2026. Takový výklad by popíral účel navrhované změny a mohl by vyvolat účinky materiálně zpětně nepříznivé vůči investorovi, který v mezidobí důvodně spoléhal na zákonem stanovenou platnost stanoviska.</w:t>
      </w:r>
      <w:r w:rsidDel="00000000" w:rsidR="00000000" w:rsidRPr="00000000">
        <w:rPr>
          <w:rtl w:val="0"/>
        </w:rPr>
      </w:r>
    </w:p>
    <w:p w:rsidR="00000000" w:rsidDel="00000000" w:rsidP="00000000" w:rsidRDefault="00000000" w:rsidRPr="00000000" w14:paraId="00000025">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Navrhované řešení proto výslovně stanoví, že stanovisko nebo závazné stanovisko pro záměr speciální dráhy, které je podle čl. VIII bodu 2 považováno za platné do 31. prosince 2026, se pro účely prodloužení podle čl. VIII bodu 1 považuje za stanovisko, jehož platnost uplyne právě dne 31. prosince 2026. Žádost o jeho prodloužení tak lze podat do tohoto data. Tím se zachovává kontinuita právního režimu a předchází se sporu, zda bylo možné o prodloužení požádat v době, kdy původní individuálně stanovená doba platnosti již uplynula, ale zákon stanovisko nadále považoval za platné.</w:t>
      </w:r>
      <w:r w:rsidDel="00000000" w:rsidR="00000000" w:rsidRPr="00000000">
        <w:rPr>
          <w:rtl w:val="0"/>
        </w:rPr>
      </w:r>
    </w:p>
    <w:p w:rsidR="00000000" w:rsidDel="00000000" w:rsidP="00000000" w:rsidRDefault="00000000" w:rsidRPr="00000000" w14:paraId="00000026">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Pozměňovací návrh je úzce věcně spojen s projednávaným komplexním pozměňovacím návrhem. Komplexní pozměňovací návrh mění stavební zákon, liniový zákon a další předpisy v oblasti přípravy, povolování a realizace významných staveb a veřejné infrastruktury. Navrhovaná úprava směřuje ke stabilizaci procesního podkladu pro povolování významné dopravní infrastruktury a ke zvýšení právní jistoty při navazujících povolovacích řízeních.</w:t>
      </w:r>
      <w:r w:rsidDel="00000000" w:rsidR="00000000" w:rsidRPr="00000000">
        <w:rPr>
          <w:rtl w:val="0"/>
        </w:rPr>
      </w:r>
    </w:p>
    <w:p w:rsidR="00000000" w:rsidDel="00000000" w:rsidP="00000000" w:rsidRDefault="00000000" w:rsidRPr="00000000" w14:paraId="00000027">
      <w:pPr>
        <w:spacing w:after="120" w:before="0" w:lineRule="auto"/>
        <w:rPr/>
      </w:pPr>
      <w:r w:rsidDel="00000000" w:rsidR="00000000" w:rsidRPr="00000000">
        <w:rPr>
          <w:rtl w:val="0"/>
        </w:rPr>
      </w:r>
    </w:p>
    <w:p w:rsidR="00000000" w:rsidDel="00000000" w:rsidP="00000000" w:rsidRDefault="00000000" w:rsidRPr="00000000" w14:paraId="00000028">
      <w:pPr>
        <w:spacing w:after="120" w:before="12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PLATNÉ ZNĚNÍ DOTČENÉHO USTANOVENÍ ZÁKONA Č. 465/2023 SB. S VYZNAČENÍM NAVRHOVANÝCH ZMĚN A DOPLNĚNÍ</w:t>
      </w:r>
      <w:r w:rsidDel="00000000" w:rsidR="00000000" w:rsidRPr="00000000">
        <w:rPr>
          <w:rtl w:val="0"/>
        </w:rPr>
      </w:r>
    </w:p>
    <w:p w:rsidR="00000000" w:rsidDel="00000000" w:rsidP="00000000" w:rsidRDefault="00000000" w:rsidRPr="00000000" w14:paraId="0000002A">
      <w:pPr>
        <w:spacing w:after="120" w:before="0" w:lineRule="auto"/>
        <w:rPr/>
      </w:pPr>
      <w:r w:rsidDel="00000000" w:rsidR="00000000" w:rsidRPr="00000000">
        <w:rPr>
          <w:rtl w:val="0"/>
        </w:rPr>
      </w:r>
    </w:p>
    <w:p w:rsidR="00000000" w:rsidDel="00000000" w:rsidP="00000000" w:rsidRDefault="00000000" w:rsidRPr="00000000" w14:paraId="0000002B">
      <w:pPr>
        <w:spacing w:after="120" w:before="0" w:lineRule="auto"/>
        <w:jc w:val="center"/>
        <w:rPr>
          <w:sz w:val="24"/>
          <w:szCs w:val="24"/>
        </w:rPr>
      </w:pPr>
      <w:r w:rsidDel="00000000" w:rsidR="00000000" w:rsidRPr="00000000">
        <w:rPr>
          <w:sz w:val="24"/>
          <w:szCs w:val="24"/>
          <w:rtl w:val="0"/>
        </w:rPr>
        <w:t xml:space="preserve">Čl. VIII</w:t>
      </w:r>
    </w:p>
    <w:p w:rsidR="00000000" w:rsidDel="00000000" w:rsidP="00000000" w:rsidRDefault="00000000" w:rsidRPr="00000000" w14:paraId="0000002C">
      <w:pPr>
        <w:spacing w:after="120" w:before="0" w:lineRule="auto"/>
        <w:jc w:val="center"/>
        <w:rPr>
          <w:b w:val="1"/>
          <w:bCs w:val="1"/>
        </w:rPr>
      </w:pPr>
      <w:r w:rsidDel="00000000" w:rsidR="00000000" w:rsidRPr="00000000">
        <w:rPr>
          <w:b w:val="1"/>
          <w:bCs w:val="1"/>
          <w:sz w:val="24"/>
          <w:szCs w:val="24"/>
          <w:rtl w:val="0"/>
        </w:rPr>
        <w:t xml:space="preserve">Přechodná ustanovení</w:t>
      </w:r>
      <w:r w:rsidDel="00000000" w:rsidR="00000000" w:rsidRPr="00000000">
        <w:rPr>
          <w:rtl w:val="0"/>
        </w:rPr>
      </w:r>
    </w:p>
    <w:p w:rsidR="00000000" w:rsidDel="00000000" w:rsidP="00000000" w:rsidRDefault="00000000" w:rsidRPr="00000000" w14:paraId="0000002D">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1. Platnost stanoviska k posouzení vlivů provedení záměru na životní prostředí podle § 10 zákona č. 100/2001 Sb., ve znění účinném do 31. března 2015, nebo závazného stanoviska k posouzení vlivů provedení záměru na životní prostředí podle § 9a zákona č. 100/2001 Sb., ve znění účinném od 1. dubna 2015 do dne nabytí účinnosti tohoto zákona, vydaného pro záměr nového jaderného zdroje, dálnice, silnice I. třídy, celostátní dráhy, regionální dráhy</w:t>
      </w:r>
      <w:r w:rsidDel="00000000" w:rsidR="00000000" w:rsidRPr="00000000">
        <w:rPr>
          <w:b w:val="1"/>
          <w:bCs w:val="1"/>
          <w:sz w:val="24"/>
          <w:szCs w:val="24"/>
          <w:rtl w:val="0"/>
        </w:rPr>
        <w:t xml:space="preserve">, speciální dráhy</w:t>
      </w:r>
      <w:r w:rsidDel="00000000" w:rsidR="00000000" w:rsidRPr="00000000">
        <w:rPr>
          <w:rFonts w:ascii="Times New Roman" w:cs="Times New Roman" w:eastAsia="Times New Roman" w:hAnsi="Times New Roman"/>
          <w:b w:val="0"/>
          <w:bCs w:val="0"/>
          <w:sz w:val="24"/>
          <w:szCs w:val="24"/>
          <w:rtl w:val="0"/>
        </w:rPr>
        <w:t xml:space="preserve"> nebo vzletové a přistávací dráhy letiště přede dnem nabytí účinnosti tohoto zákona lze prodloužit opakovaně.</w:t>
      </w:r>
      <w:r w:rsidDel="00000000" w:rsidR="00000000" w:rsidRPr="00000000">
        <w:rPr>
          <w:rtl w:val="0"/>
        </w:rPr>
      </w:r>
    </w:p>
    <w:p w:rsidR="00000000" w:rsidDel="00000000" w:rsidP="00000000" w:rsidRDefault="00000000" w:rsidRPr="00000000" w14:paraId="0000002E">
      <w:pPr>
        <w:spacing w:after="120" w:before="0" w:lineRule="auto"/>
        <w:jc w:val="both"/>
        <w:rPr/>
      </w:pPr>
      <w:r w:rsidDel="00000000" w:rsidR="00000000" w:rsidRPr="00000000">
        <w:rPr>
          <w:rFonts w:ascii="Times New Roman" w:cs="Times New Roman" w:eastAsia="Times New Roman" w:hAnsi="Times New Roman"/>
          <w:b w:val="0"/>
          <w:bCs w:val="0"/>
          <w:sz w:val="24"/>
          <w:szCs w:val="24"/>
          <w:rtl w:val="0"/>
        </w:rPr>
        <w:t xml:space="preserve">2. Stanovisko k posouzení vlivů provedení záměru na životní prostředí podle § 10 zákona č. 100/2001 Sb., ve znění účinném do 31. března 2015, nebo závazné stanovisko k posouzení vlivů provedení záměru na životní prostředí podle § 9a zákona č. 100/2001 Sb., ve znění účinném od 1. dubna 2015 do dne nabytí účinnosti tohoto zákona, vydané přede dnem nabytí účinnosti tohoto zákona, jehož platnost již byla před nabytím účinnosti tohoto zákona podle § 9a odst. 4 zákona č. 100/2001 Sb., ve znění účinném přede dnem nabytí účinnosti tohoto zákona, prodloužena na dobu, která má uplynout dříve než 1. ledna 2027, se považuje za platné do 31. prosince 2026.</w:t>
      </w:r>
      <w:r w:rsidDel="00000000" w:rsidR="00000000" w:rsidRPr="00000000">
        <w:rPr>
          <w:rtl w:val="0"/>
        </w:rPr>
      </w:r>
    </w:p>
    <w:p w:rsidR="00000000" w:rsidDel="00000000" w:rsidP="00000000" w:rsidRDefault="00000000" w:rsidRPr="00000000" w14:paraId="0000002F">
      <w:pPr>
        <w:spacing w:after="120" w:lineRule="auto"/>
        <w:jc w:val="both"/>
        <w:rPr>
          <w:b w:val="1"/>
          <w:bCs w:val="1"/>
        </w:rPr>
      </w:pPr>
      <w:r w:rsidDel="00000000" w:rsidR="00000000" w:rsidRPr="00000000">
        <w:rPr>
          <w:b w:val="1"/>
          <w:bCs w:val="1"/>
          <w:rtl w:val="0"/>
        </w:rPr>
        <w:t xml:space="preserve">3. Stanovisko k posouzení vlivů provedení záměru na životní prostředí podle § 10 zákona č. 100/2001 Sb., ve znění účinném do 31. března 2015, nebo závazné stanovisko k posouzení vlivů provedení záměru na životní prostředí podle § 9a zákona č. 100/2001 Sb., ve znění účinném od 1. dubna 2015 do dne nabytí účinnosti tohoto zákona, vydané pro záměr speciální dráhy, ktere je podle bodu 2 platné do 31. prosince 2026, se považuje pro účely prodloužení jeho platnosti podle bodu 1 za stanovisko nebo závazné stanovisko, jehož platnost trvá do 31. prosince 2026. Žádost o prodloužení platnosti stanoviska nebo závazného stanoviska podle věty první lze podat nejpozději dne 31. prosince 2026.</w:t>
      </w:r>
    </w:p>
    <w:p w:rsidR="00000000" w:rsidDel="00000000" w:rsidP="00000000" w:rsidRDefault="00000000" w:rsidRPr="00000000" w14:paraId="00000030">
      <w:pPr>
        <w:spacing w:after="120" w:before="0" w:lineRule="auto"/>
        <w:jc w:val="both"/>
        <w:rPr/>
      </w:pPr>
      <w:r w:rsidDel="00000000" w:rsidR="00000000" w:rsidRPr="00000000">
        <w:rPr>
          <w:strike w:val="1"/>
          <w:rtl w:val="0"/>
        </w:rPr>
        <w:t xml:space="preserve">3.</w:t>
      </w:r>
      <w:r w:rsidDel="00000000" w:rsidR="00000000" w:rsidRPr="00000000">
        <w:rPr>
          <w:b w:val="1"/>
          <w:bCs w:val="1"/>
          <w:sz w:val="24"/>
          <w:szCs w:val="24"/>
          <w:rtl w:val="0"/>
        </w:rPr>
        <w:t xml:space="preserve">4.</w:t>
      </w:r>
      <w:r w:rsidDel="00000000" w:rsidR="00000000" w:rsidRPr="00000000">
        <w:rPr>
          <w:rFonts w:ascii="Times New Roman" w:cs="Times New Roman" w:eastAsia="Times New Roman" w:hAnsi="Times New Roman"/>
          <w:b w:val="0"/>
          <w:bCs w:val="0"/>
          <w:sz w:val="24"/>
          <w:szCs w:val="24"/>
          <w:rtl w:val="0"/>
        </w:rPr>
        <w:t xml:space="preserve"> Přede dnem nabytí účinnosti tohoto zákona podané a ke dni nabytí účinnosti tohoto zákona dosud nevyřízené žádosti o prodloužení platnosti stanoviska k posouzení vlivů provedení záměru na životní prostředí podle § 10 zákona č. 100/2001 Sb., ve znění účinném do 31. března 2015, nebo závazného stanoviska k posouzení vlivů provedení záměru na životní prostředí podle § 9a zákona č. 100/2001 Sb., ve znění účinném od 1. dubna 2015 do dne nabytí účinnosti tohoto zákona, jejichž platnost již byla přede dnem nabytí účinnosti tohoto zákona alespoň jednou prodloužena a má uplynout do 31. března 2024, se vyřídí podle zákona č. 100/2001 Sb., ve znění účinném přede dnem nabytí účinnosti tohoto zákona, s výjimkou určení příslušného úřadu podle přílohy č. 1 k zákonu č. 100/2001 Sb., které se řídí zákonem č. 100/2001 Sb., ve znění účinném ke dni nabytí účinnosti tohoto zákona. Podání žádosti o další prodloužení platnosti těchto stanovisek je vyloučeno.</w:t>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